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A" w:rsidRDefault="00751D1A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proofErr w:type="gramStart"/>
      <w:r w:rsidRPr="00AB1A51">
        <w:rPr>
          <w:color w:val="000000"/>
          <w:sz w:val="20"/>
          <w:szCs w:val="20"/>
        </w:rPr>
        <w:t>Следует также отметить, что согласно части 8 статьи 5 Федерального закона от 21.12.2013 № 353-ФЗ, при обращении заемщика к МФО о предоставлении потребительского займа в сумме (с лимитом кредитования) 100 000 рублей и более МФО обязана сообщить заемщику, что, если в течение одного года общий размер платежей по всем имеющимся у заемщика на дату обращения к МФО обязательствам по кредитным договорам</w:t>
      </w:r>
      <w:proofErr w:type="gramEnd"/>
      <w:r w:rsidRPr="00AB1A51">
        <w:rPr>
          <w:color w:val="000000"/>
          <w:sz w:val="20"/>
          <w:szCs w:val="20"/>
        </w:rPr>
        <w:t>, договорам займа, включая платежи по предоставляемому потребительскому займу, будет превышать пятьдесят процентов годового дохода заемщика, для заемщика существует риск неисполнения им обязательств по договору потребительского займа и применения к нему штрафных санкций.</w:t>
      </w: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714643" w:rsidRPr="00B36940" w:rsidRDefault="00714643" w:rsidP="00751D1A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2"/>
          <w:szCs w:val="22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11A71" w:rsidRDefault="00211A71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Pr="00D552B9" w:rsidRDefault="00F8682E" w:rsidP="00F8682E">
      <w:pPr>
        <w:rPr>
          <w:color w:val="000000" w:themeColor="text1"/>
          <w:sz w:val="14"/>
          <w:szCs w:val="14"/>
        </w:rPr>
      </w:pPr>
      <w:r w:rsidRPr="00D552B9">
        <w:rPr>
          <w:b/>
          <w:i/>
          <w:sz w:val="14"/>
          <w:szCs w:val="14"/>
          <w:shd w:val="clear" w:color="auto" w:fill="FFFFFF" w:themeFill="background1"/>
        </w:rPr>
        <w:t>Информация подготовлена с использованием открытых Интернет-ресурсов</w:t>
      </w:r>
    </w:p>
    <w:p w:rsidR="00F8682E" w:rsidRDefault="00F8682E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F8682E" w:rsidRDefault="00F8682E" w:rsidP="00044F7C">
      <w:pPr>
        <w:ind w:firstLine="284"/>
        <w:jc w:val="center"/>
        <w:rPr>
          <w:color w:val="000000" w:themeColor="text1"/>
          <w:sz w:val="22"/>
          <w:szCs w:val="22"/>
        </w:rPr>
      </w:pPr>
    </w:p>
    <w:p w:rsidR="00044F7C" w:rsidRPr="00C12881" w:rsidRDefault="00044F7C" w:rsidP="00044F7C">
      <w:pPr>
        <w:ind w:firstLine="284"/>
        <w:jc w:val="center"/>
        <w:rPr>
          <w:color w:val="000000" w:themeColor="text1"/>
          <w:sz w:val="24"/>
          <w:szCs w:val="24"/>
        </w:rPr>
      </w:pPr>
      <w:r w:rsidRPr="00044F7C">
        <w:rPr>
          <w:color w:val="000000" w:themeColor="text1"/>
          <w:sz w:val="22"/>
          <w:szCs w:val="22"/>
        </w:rPr>
        <w:t>ГОСУДАРСТВЕННЫЙ  ИНФОРМАЦИОННЫЙ  РЕСУРС  В СФЕРЕ ЗАЩИТЫ ПРАВ ПОТРЕБИТЕЛЕЙ</w:t>
      </w:r>
      <w:r w:rsidRPr="00C12881">
        <w:rPr>
          <w:color w:val="000000" w:themeColor="text1"/>
          <w:sz w:val="24"/>
          <w:szCs w:val="24"/>
        </w:rPr>
        <w:t xml:space="preserve">   </w:t>
      </w:r>
      <w:hyperlink r:id="rId7" w:history="1">
        <w:r w:rsidRPr="00C12881">
          <w:rPr>
            <w:rStyle w:val="a3"/>
            <w:color w:val="000000" w:themeColor="text1"/>
            <w:sz w:val="24"/>
            <w:szCs w:val="24"/>
          </w:rPr>
          <w:t>http://zpp.rospotrebnadzor.ru/</w:t>
        </w:r>
      </w:hyperlink>
    </w:p>
    <w:p w:rsidR="00044F7C" w:rsidRDefault="00044F7C" w:rsidP="00044F7C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  <w:r w:rsidRPr="00044F7C">
        <w:rPr>
          <w:b/>
          <w:i/>
          <w:noProof/>
          <w:color w:val="00B050"/>
          <w:sz w:val="22"/>
          <w:szCs w:val="22"/>
          <w:shd w:val="clear" w:color="auto" w:fill="FFFFFF" w:themeFill="background1"/>
          <w:lang w:eastAsia="ru-RU"/>
        </w:rPr>
        <w:drawing>
          <wp:inline distT="0" distB="0" distL="0" distR="0">
            <wp:extent cx="2856316" cy="15144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F7C" w:rsidRDefault="00044F7C" w:rsidP="00C12881">
      <w:pPr>
        <w:rPr>
          <w:b/>
          <w:i/>
          <w:color w:val="00B050"/>
          <w:sz w:val="22"/>
          <w:szCs w:val="22"/>
          <w:shd w:val="clear" w:color="auto" w:fill="FFFFFF" w:themeFill="background1"/>
        </w:rPr>
      </w:pPr>
    </w:p>
    <w:p w:rsidR="002A1728" w:rsidRPr="00044F7C" w:rsidRDefault="002A1728" w:rsidP="002A1728">
      <w:pPr>
        <w:jc w:val="center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На данном портале размещено: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нормативная правовая база в сфере защите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результаты проверок,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решения судов по делам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новости в сфере защиты прав потребителей;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образцы претензий и исковых заявлений; 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>ВИРТУАЛЬНАЯ ПРИЕМНАЯ, где можно задать интересующий вопрос;</w:t>
      </w:r>
    </w:p>
    <w:p w:rsidR="002A1728" w:rsidRPr="00044F7C" w:rsidRDefault="002A1728" w:rsidP="002A1728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044F7C">
        <w:rPr>
          <w:sz w:val="22"/>
          <w:szCs w:val="22"/>
        </w:rPr>
        <w:t xml:space="preserve">ВЕРСИЯ ДЛЯ </w:t>
      </w:r>
      <w:proofErr w:type="gramStart"/>
      <w:r w:rsidRPr="00044F7C">
        <w:rPr>
          <w:sz w:val="22"/>
          <w:szCs w:val="22"/>
        </w:rPr>
        <w:t>СЛАБОВИДЯЩИХ</w:t>
      </w:r>
      <w:proofErr w:type="gramEnd"/>
      <w:r w:rsidRPr="00044F7C">
        <w:rPr>
          <w:sz w:val="22"/>
          <w:szCs w:val="22"/>
        </w:rPr>
        <w:t>.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 xml:space="preserve">Телефон Консультационного центра по защите прав потребителей: 8 (4112) 446158 </w:t>
      </w:r>
      <w:proofErr w:type="gramStart"/>
      <w:r w:rsidRPr="00044F7C">
        <w:rPr>
          <w:b/>
          <w:sz w:val="22"/>
          <w:szCs w:val="22"/>
        </w:rPr>
        <w:t>(</w:t>
      </w:r>
      <w:r w:rsidRPr="00044F7C">
        <w:rPr>
          <w:b/>
          <w:color w:val="2B2A2A"/>
          <w:sz w:val="22"/>
          <w:szCs w:val="22"/>
          <w:shd w:val="clear" w:color="auto" w:fill="F9F9F9"/>
        </w:rPr>
        <w:t> </w:t>
      </w:r>
      <w:proofErr w:type="gramEnd"/>
      <w:r w:rsidRPr="00044F7C">
        <w:rPr>
          <w:b/>
          <w:color w:val="2B2A2A"/>
          <w:sz w:val="22"/>
          <w:szCs w:val="22"/>
          <w:shd w:val="clear" w:color="auto" w:fill="F9F9F9"/>
        </w:rPr>
        <w:t>с 09:00 ч. до 17:15 часов, кроме субботы и воскресенья, с перерывом с 13:00 ч. до 14:00 ч.</w:t>
      </w:r>
      <w:r w:rsidRPr="00044F7C">
        <w:rPr>
          <w:b/>
          <w:sz w:val="22"/>
          <w:szCs w:val="22"/>
        </w:rPr>
        <w:t xml:space="preserve">) </w:t>
      </w:r>
      <w:proofErr w:type="spellStart"/>
      <w:r w:rsidRPr="00044F7C">
        <w:rPr>
          <w:b/>
          <w:sz w:val="22"/>
          <w:szCs w:val="22"/>
          <w:lang w:val="en-US"/>
        </w:rPr>
        <w:t>zpp</w:t>
      </w:r>
      <w:proofErr w:type="spellEnd"/>
      <w:r w:rsidRPr="00044F7C">
        <w:rPr>
          <w:b/>
          <w:sz w:val="22"/>
          <w:szCs w:val="22"/>
        </w:rPr>
        <w:t>@</w:t>
      </w:r>
      <w:proofErr w:type="spellStart"/>
      <w:r w:rsidRPr="00044F7C">
        <w:rPr>
          <w:b/>
          <w:sz w:val="22"/>
          <w:szCs w:val="22"/>
          <w:lang w:val="en-US"/>
        </w:rPr>
        <w:t>fbuz</w:t>
      </w:r>
      <w:proofErr w:type="spellEnd"/>
      <w:r w:rsidRPr="00044F7C">
        <w:rPr>
          <w:b/>
          <w:sz w:val="22"/>
          <w:szCs w:val="22"/>
        </w:rPr>
        <w:t>14.</w:t>
      </w:r>
      <w:proofErr w:type="spellStart"/>
      <w:r w:rsidRPr="00044F7C">
        <w:rPr>
          <w:b/>
          <w:sz w:val="22"/>
          <w:szCs w:val="22"/>
          <w:lang w:val="en-US"/>
        </w:rPr>
        <w:t>ru</w:t>
      </w:r>
      <w:proofErr w:type="spellEnd"/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sz w:val="22"/>
          <w:szCs w:val="22"/>
        </w:rPr>
        <w:t>Единый консультационный центр:</w:t>
      </w:r>
    </w:p>
    <w:p w:rsidR="002A1728" w:rsidRPr="00044F7C" w:rsidRDefault="002A1728" w:rsidP="002A1728">
      <w:pPr>
        <w:jc w:val="both"/>
        <w:rPr>
          <w:b/>
          <w:sz w:val="22"/>
          <w:szCs w:val="22"/>
        </w:rPr>
      </w:pPr>
      <w:r w:rsidRPr="00044F7C">
        <w:rPr>
          <w:b/>
          <w:color w:val="333333"/>
          <w:sz w:val="22"/>
          <w:szCs w:val="22"/>
          <w:shd w:val="clear" w:color="auto" w:fill="FFFFFF"/>
        </w:rPr>
        <w:t> 8 800 555 49 43 </w:t>
      </w:r>
      <w:r w:rsidRPr="00044F7C">
        <w:rPr>
          <w:b/>
          <w:sz w:val="22"/>
          <w:szCs w:val="22"/>
        </w:rPr>
        <w:t xml:space="preserve"> (круглосуточно и без выходных дней)</w:t>
      </w:r>
    </w:p>
    <w:p w:rsidR="006912BC" w:rsidRPr="003E270F" w:rsidRDefault="00D552B9" w:rsidP="006912BC">
      <w:pPr>
        <w:rPr>
          <w:color w:val="000000"/>
          <w:sz w:val="24"/>
          <w:szCs w:val="24"/>
          <w:lang w:eastAsia="ru-RU"/>
        </w:rPr>
      </w:pPr>
      <w:r w:rsidRPr="003E270F">
        <w:rPr>
          <w:b/>
          <w:i/>
          <w:sz w:val="24"/>
          <w:szCs w:val="24"/>
          <w:shd w:val="clear" w:color="auto" w:fill="FFFFFF" w:themeFill="background1"/>
        </w:rPr>
        <w:t xml:space="preserve">                    </w:t>
      </w: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C12881" w:rsidRDefault="00C12881" w:rsidP="000A4783">
      <w:pPr>
        <w:jc w:val="center"/>
        <w:rPr>
          <w:b/>
          <w:sz w:val="20"/>
          <w:szCs w:val="20"/>
        </w:rPr>
      </w:pPr>
    </w:p>
    <w:p w:rsidR="00AF0432" w:rsidRDefault="00AF0432" w:rsidP="000A4783">
      <w:pPr>
        <w:jc w:val="center"/>
        <w:rPr>
          <w:b/>
          <w:sz w:val="20"/>
          <w:szCs w:val="20"/>
        </w:rPr>
      </w:pPr>
    </w:p>
    <w:p w:rsidR="00626A86" w:rsidRDefault="00D751F5" w:rsidP="000A478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114ED9" w:rsidRDefault="00114ED9" w:rsidP="00626A86">
      <w:pPr>
        <w:jc w:val="center"/>
        <w:rPr>
          <w:b/>
        </w:rPr>
      </w:pPr>
    </w:p>
    <w:p w:rsidR="00626A86" w:rsidRDefault="00626A86" w:rsidP="00626A86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AF0432" w:rsidRDefault="00AF0432" w:rsidP="00626A86">
      <w:pPr>
        <w:jc w:val="center"/>
        <w:rPr>
          <w:b/>
        </w:rPr>
      </w:pPr>
      <w:r>
        <w:rPr>
          <w:b/>
        </w:rPr>
        <w:t>Отдел защиты прав потребителей</w:t>
      </w:r>
    </w:p>
    <w:p w:rsidR="000A7F84" w:rsidRDefault="000A7F84" w:rsidP="000A4783"/>
    <w:p w:rsidR="00211A71" w:rsidRDefault="0005227B" w:rsidP="00D751F5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11A71" w:rsidRDefault="00C07427" w:rsidP="00D751F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607344"/>
            <wp:effectExtent l="19050" t="0" r="0" b="0"/>
            <wp:docPr id="4" name="Рисунок 3" descr="C:\Users\Пользователь\Desktop\На сайт, все подряд, Мерорприятия\2025 год\2 квартал\По медиа-плану Апрель, Май, Июнь\МАЙ 2025\scale_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а сайт, все подряд, Мерорприятия\2025 год\2 квартал\По медиа-плану Апрель, Май, Июнь\МАЙ 2025\scale_12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12" w:rsidRDefault="000A5E12" w:rsidP="00D751F5">
      <w:pPr>
        <w:rPr>
          <w:noProof/>
          <w:lang w:eastAsia="ru-RU"/>
        </w:rPr>
      </w:pPr>
    </w:p>
    <w:p w:rsidR="00714643" w:rsidRDefault="00714643" w:rsidP="00D751F5">
      <w:pPr>
        <w:rPr>
          <w:noProof/>
          <w:lang w:eastAsia="ru-RU"/>
        </w:rPr>
      </w:pPr>
    </w:p>
    <w:p w:rsidR="00714643" w:rsidRDefault="00714643" w:rsidP="00D751F5">
      <w:pPr>
        <w:rPr>
          <w:noProof/>
          <w:lang w:eastAsia="ru-RU"/>
        </w:rPr>
      </w:pPr>
    </w:p>
    <w:p w:rsidR="00714643" w:rsidRDefault="00714643" w:rsidP="00D751F5">
      <w:pPr>
        <w:rPr>
          <w:noProof/>
          <w:lang w:eastAsia="ru-RU"/>
        </w:rPr>
      </w:pPr>
    </w:p>
    <w:p w:rsidR="00714643" w:rsidRDefault="00714643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0A5E12" w:rsidRDefault="000A5E12" w:rsidP="00D751F5">
      <w:pPr>
        <w:rPr>
          <w:noProof/>
          <w:lang w:eastAsia="ru-RU"/>
        </w:rPr>
      </w:pPr>
    </w:p>
    <w:p w:rsidR="00410BC4" w:rsidRDefault="00410BC4" w:rsidP="00D751F5">
      <w:pPr>
        <w:rPr>
          <w:noProof/>
          <w:lang w:eastAsia="ru-RU"/>
        </w:rPr>
      </w:pPr>
    </w:p>
    <w:p w:rsidR="004E3B42" w:rsidRDefault="00D751F5" w:rsidP="001F770E">
      <w:pPr>
        <w:ind w:left="180"/>
        <w:rPr>
          <w:b/>
        </w:rPr>
      </w:pPr>
      <w:r>
        <w:t xml:space="preserve">   </w:t>
      </w:r>
      <w:r w:rsidR="0005227B" w:rsidRPr="0005227B">
        <w:rPr>
          <w:b/>
        </w:rPr>
        <w:pict>
          <v:shape id="_x0000_i1026" type="#_x0000_t75" alt="" style="width:24pt;height:24pt"/>
        </w:pict>
      </w:r>
      <w:r w:rsidR="005D7F46" w:rsidRPr="005D7F46">
        <w:rPr>
          <w:b/>
        </w:rPr>
        <w:t xml:space="preserve"> </w:t>
      </w:r>
    </w:p>
    <w:p w:rsidR="00936CB4" w:rsidRDefault="00211A71" w:rsidP="005D7F46">
      <w:pPr>
        <w:spacing w:line="240" w:lineRule="atLeast"/>
        <w:jc w:val="center"/>
        <w:rPr>
          <w:b/>
        </w:rPr>
      </w:pPr>
      <w:r w:rsidRPr="00211A71">
        <w:rPr>
          <w:b/>
        </w:rPr>
        <w:t xml:space="preserve"> </w:t>
      </w:r>
    </w:p>
    <w:p w:rsidR="005845A1" w:rsidRDefault="005845A1" w:rsidP="00626A86">
      <w:pPr>
        <w:ind w:left="180"/>
        <w:rPr>
          <w:b/>
          <w:sz w:val="24"/>
          <w:szCs w:val="24"/>
        </w:rPr>
      </w:pPr>
    </w:p>
    <w:p w:rsidR="000A5E12" w:rsidRPr="004E3B42" w:rsidRDefault="004E3B42" w:rsidP="004E3B42">
      <w:pPr>
        <w:ind w:left="180"/>
        <w:jc w:val="center"/>
        <w:rPr>
          <w:b/>
        </w:rPr>
      </w:pPr>
      <w:r w:rsidRPr="004E3B42">
        <w:rPr>
          <w:b/>
        </w:rPr>
        <w:t xml:space="preserve">Памятка. </w:t>
      </w:r>
      <w:proofErr w:type="spellStart"/>
      <w:r w:rsidR="00714643">
        <w:rPr>
          <w:b/>
        </w:rPr>
        <w:t>Микрофинансовые</w:t>
      </w:r>
      <w:proofErr w:type="spellEnd"/>
      <w:r w:rsidR="00714643">
        <w:rPr>
          <w:b/>
        </w:rPr>
        <w:t xml:space="preserve"> организации</w:t>
      </w:r>
    </w:p>
    <w:p w:rsidR="004E3B42" w:rsidRDefault="004E3B42" w:rsidP="00626A86">
      <w:pPr>
        <w:ind w:left="180"/>
        <w:rPr>
          <w:b/>
          <w:sz w:val="24"/>
          <w:szCs w:val="24"/>
        </w:rPr>
      </w:pPr>
    </w:p>
    <w:p w:rsidR="008C0C31" w:rsidRDefault="00626A86" w:rsidP="00D751F5">
      <w:pPr>
        <w:ind w:left="180"/>
        <w:jc w:val="center"/>
        <w:rPr>
          <w:b/>
        </w:rPr>
      </w:pPr>
      <w:r>
        <w:rPr>
          <w:b/>
        </w:rPr>
        <w:t>г.</w:t>
      </w:r>
      <w:r w:rsidR="00B32EE3">
        <w:rPr>
          <w:b/>
        </w:rPr>
        <w:t xml:space="preserve"> </w:t>
      </w:r>
      <w:r>
        <w:rPr>
          <w:b/>
        </w:rPr>
        <w:t xml:space="preserve">Якутск </w:t>
      </w:r>
    </w:p>
    <w:p w:rsidR="002A723C" w:rsidRPr="002A723C" w:rsidRDefault="002A723C" w:rsidP="002A723C">
      <w:pPr>
        <w:shd w:val="clear" w:color="auto" w:fill="FFFFFF"/>
        <w:ind w:firstLine="300"/>
        <w:jc w:val="both"/>
        <w:textAlignment w:val="baseline"/>
        <w:rPr>
          <w:sz w:val="26"/>
          <w:szCs w:val="26"/>
          <w:lang w:eastAsia="ru-RU"/>
        </w:rPr>
      </w:pP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proofErr w:type="spellStart"/>
      <w:r w:rsidRPr="00AB1A51">
        <w:rPr>
          <w:color w:val="000000"/>
          <w:sz w:val="20"/>
          <w:szCs w:val="20"/>
          <w:u w:val="single"/>
        </w:rPr>
        <w:lastRenderedPageBreak/>
        <w:t>Микрофинансовая</w:t>
      </w:r>
      <w:proofErr w:type="spellEnd"/>
      <w:r w:rsidRPr="00AB1A51">
        <w:rPr>
          <w:color w:val="000000"/>
          <w:sz w:val="20"/>
          <w:szCs w:val="20"/>
          <w:u w:val="single"/>
        </w:rPr>
        <w:t xml:space="preserve"> организация</w:t>
      </w:r>
      <w:r w:rsidRPr="00AB1A51">
        <w:rPr>
          <w:color w:val="000000"/>
          <w:sz w:val="20"/>
          <w:szCs w:val="20"/>
        </w:rPr>
        <w:t xml:space="preserve"> (далее – МФО) – юридическое лицо, зарегистрированное в форме фонда, автономной некоммерческой организации, учреждения (за исключением казенного), некоммерческого партнерства, хозяйственного общества или товарищества, осуществляющее </w:t>
      </w:r>
      <w:proofErr w:type="spellStart"/>
      <w:r w:rsidRPr="00AB1A51">
        <w:rPr>
          <w:color w:val="000000"/>
          <w:sz w:val="20"/>
          <w:szCs w:val="20"/>
        </w:rPr>
        <w:t>микрофинансовую</w:t>
      </w:r>
      <w:proofErr w:type="spellEnd"/>
      <w:r w:rsidRPr="00AB1A51">
        <w:rPr>
          <w:color w:val="000000"/>
          <w:sz w:val="20"/>
          <w:szCs w:val="20"/>
        </w:rPr>
        <w:t xml:space="preserve"> деятельность и внесенное в государственный реестр </w:t>
      </w:r>
      <w:proofErr w:type="spellStart"/>
      <w:r w:rsidRPr="00AB1A51">
        <w:rPr>
          <w:color w:val="000000"/>
          <w:sz w:val="20"/>
          <w:szCs w:val="20"/>
        </w:rPr>
        <w:t>микрофинансовых</w:t>
      </w:r>
      <w:proofErr w:type="spellEnd"/>
      <w:r w:rsidRPr="00AB1A51">
        <w:rPr>
          <w:color w:val="000000"/>
          <w:sz w:val="20"/>
          <w:szCs w:val="20"/>
        </w:rPr>
        <w:t xml:space="preserve"> организаций в порядке, предусмотренном законом;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proofErr w:type="spellStart"/>
      <w:r w:rsidRPr="00AB1A51">
        <w:rPr>
          <w:color w:val="000000"/>
          <w:sz w:val="20"/>
          <w:szCs w:val="20"/>
          <w:u w:val="single"/>
        </w:rPr>
        <w:t>Микрофинансовая</w:t>
      </w:r>
      <w:proofErr w:type="spellEnd"/>
      <w:r w:rsidRPr="00AB1A51">
        <w:rPr>
          <w:color w:val="000000"/>
          <w:sz w:val="20"/>
          <w:szCs w:val="20"/>
          <w:u w:val="single"/>
        </w:rPr>
        <w:t xml:space="preserve"> деятельность</w:t>
      </w:r>
      <w:r w:rsidRPr="00AB1A51">
        <w:rPr>
          <w:color w:val="000000"/>
          <w:sz w:val="20"/>
          <w:szCs w:val="20"/>
        </w:rPr>
        <w:t xml:space="preserve"> - деятельность юридических лиц, имеющих статус МФО, а также иных юридических лиц, имеющих право на осуществление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деятельности в соответствии с законодательством, по предоставлению </w:t>
      </w:r>
      <w:proofErr w:type="spellStart"/>
      <w:r w:rsidRPr="00AB1A51">
        <w:rPr>
          <w:color w:val="000000"/>
          <w:sz w:val="20"/>
          <w:szCs w:val="20"/>
        </w:rPr>
        <w:t>микрозаймов</w:t>
      </w:r>
      <w:proofErr w:type="spellEnd"/>
      <w:r w:rsidRPr="00AB1A51">
        <w:rPr>
          <w:color w:val="000000"/>
          <w:sz w:val="20"/>
          <w:szCs w:val="20"/>
        </w:rPr>
        <w:t xml:space="preserve"> (</w:t>
      </w:r>
      <w:proofErr w:type="spellStart"/>
      <w:r w:rsidRPr="00AB1A51">
        <w:rPr>
          <w:color w:val="000000"/>
          <w:sz w:val="20"/>
          <w:szCs w:val="20"/>
        </w:rPr>
        <w:t>микрофинансирование</w:t>
      </w:r>
      <w:proofErr w:type="spellEnd"/>
      <w:r w:rsidRPr="00AB1A51">
        <w:rPr>
          <w:color w:val="000000"/>
          <w:sz w:val="20"/>
          <w:szCs w:val="20"/>
        </w:rPr>
        <w:t>);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  <w:u w:val="single"/>
        </w:rPr>
        <w:t>Потребительский заем</w:t>
      </w:r>
      <w:r w:rsidRPr="00AB1A51">
        <w:rPr>
          <w:color w:val="000000"/>
          <w:sz w:val="20"/>
          <w:szCs w:val="20"/>
        </w:rPr>
        <w:t xml:space="preserve"> - денежные средства, предоставленные кредитором заемщику на </w:t>
      </w:r>
      <w:proofErr w:type="gramStart"/>
      <w:r w:rsidRPr="00AB1A51">
        <w:rPr>
          <w:color w:val="000000"/>
          <w:sz w:val="20"/>
          <w:szCs w:val="20"/>
        </w:rPr>
        <w:t>основании</w:t>
      </w:r>
      <w:proofErr w:type="gramEnd"/>
      <w:r w:rsidRPr="00AB1A51">
        <w:rPr>
          <w:color w:val="000000"/>
          <w:sz w:val="20"/>
          <w:szCs w:val="20"/>
        </w:rPr>
        <w:t xml:space="preserve"> договора займа, в том числе с использованием электронных средств платежа, в целях, не связанных с осуществлением предпринимательской деятельности, в том числе с лимитом кредитования;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sz w:val="20"/>
          <w:szCs w:val="20"/>
        </w:rPr>
      </w:pPr>
      <w:r w:rsidRPr="00AB1A51">
        <w:rPr>
          <w:color w:val="555555"/>
          <w:sz w:val="20"/>
          <w:szCs w:val="20"/>
        </w:rPr>
        <w:t> </w:t>
      </w:r>
      <w:r w:rsidRPr="00AB1A51">
        <w:rPr>
          <w:rStyle w:val="a8"/>
          <w:sz w:val="20"/>
          <w:szCs w:val="20"/>
        </w:rPr>
        <w:t>Основные нарушения прав потребителей финансовых услуг при заключении договора с МФО: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sz w:val="20"/>
          <w:szCs w:val="20"/>
        </w:rPr>
      </w:pPr>
      <w:r w:rsidRPr="00AB1A51">
        <w:rPr>
          <w:rStyle w:val="af1"/>
          <w:b/>
          <w:bCs/>
          <w:sz w:val="20"/>
          <w:szCs w:val="20"/>
        </w:rPr>
        <w:t xml:space="preserve">МФО предоставляет неполную/недостоверную информацию о порядке и условиях предоставления </w:t>
      </w:r>
      <w:proofErr w:type="spellStart"/>
      <w:r w:rsidRPr="00AB1A51">
        <w:rPr>
          <w:rStyle w:val="af1"/>
          <w:b/>
          <w:bCs/>
          <w:sz w:val="20"/>
          <w:szCs w:val="20"/>
        </w:rPr>
        <w:t>микрозайма</w:t>
      </w:r>
      <w:proofErr w:type="spellEnd"/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Согласно нормам Закона Российской Федерации от 07.02.1992 № 2300-1 «О защите прав потребителей»,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 Указанная информация должна доводиться до сведения потребителей в наглядной и доступной форме с целью обеспечить потребителю возможность сделать правильный выбор. Информация об услугах в обязательном порядке должна содержать сведения об их основных потребительских свойствах, цене в рублях и условиях приобретения, а также о правилах оказания услуг.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Согласно статье 8 Федерального закона от 02.07.2010 № 151-ФЗ «О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деятельности и </w:t>
      </w:r>
      <w:proofErr w:type="spellStart"/>
      <w:r w:rsidRPr="00AB1A51">
        <w:rPr>
          <w:color w:val="000000"/>
          <w:sz w:val="20"/>
          <w:szCs w:val="20"/>
        </w:rPr>
        <w:t>микрофинансовых</w:t>
      </w:r>
      <w:proofErr w:type="spellEnd"/>
      <w:r w:rsidRPr="00AB1A51">
        <w:rPr>
          <w:color w:val="000000"/>
          <w:sz w:val="20"/>
          <w:szCs w:val="20"/>
        </w:rPr>
        <w:t xml:space="preserve"> организациях», </w:t>
      </w:r>
      <w:r w:rsidRPr="00AB1A51">
        <w:rPr>
          <w:color w:val="000000"/>
          <w:sz w:val="20"/>
          <w:szCs w:val="20"/>
        </w:rPr>
        <w:lastRenderedPageBreak/>
        <w:t xml:space="preserve">правила предоставления </w:t>
      </w:r>
      <w:proofErr w:type="spellStart"/>
      <w:r w:rsidRPr="00AB1A51">
        <w:rPr>
          <w:color w:val="000000"/>
          <w:sz w:val="20"/>
          <w:szCs w:val="20"/>
        </w:rPr>
        <w:t>микрозаймов</w:t>
      </w:r>
      <w:proofErr w:type="spellEnd"/>
      <w:r w:rsidRPr="00AB1A51">
        <w:rPr>
          <w:color w:val="000000"/>
          <w:sz w:val="20"/>
          <w:szCs w:val="20"/>
        </w:rPr>
        <w:t xml:space="preserve"> должны быть доступны всем лицам для ознакомления и содержать основные условия предоставления </w:t>
      </w:r>
      <w:proofErr w:type="spellStart"/>
      <w:r w:rsidRPr="00AB1A51">
        <w:rPr>
          <w:color w:val="000000"/>
          <w:sz w:val="20"/>
          <w:szCs w:val="20"/>
        </w:rPr>
        <w:t>микрозаймов</w:t>
      </w:r>
      <w:proofErr w:type="spellEnd"/>
      <w:r w:rsidRPr="00AB1A51">
        <w:rPr>
          <w:color w:val="000000"/>
          <w:sz w:val="20"/>
          <w:szCs w:val="20"/>
        </w:rPr>
        <w:t>, в том числе в обязательном порядке должны содержать следующие сведения: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1) порядок подачи заявки на предоставление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 и порядок ее рассмотрения;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2) порядок заключения договора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 и порядок предоставления заемщику графика платежей;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3) иные условия, установленные внутренними документами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организации и не являющиеся условиями договора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>.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В соответствии с пунктом 2 статьи 9 Закона № 151-ФЗ, </w:t>
      </w:r>
      <w:proofErr w:type="spellStart"/>
      <w:r w:rsidRPr="00AB1A51">
        <w:rPr>
          <w:color w:val="000000"/>
          <w:sz w:val="20"/>
          <w:szCs w:val="20"/>
        </w:rPr>
        <w:t>микрофинансовая</w:t>
      </w:r>
      <w:proofErr w:type="spellEnd"/>
      <w:r w:rsidRPr="00AB1A51">
        <w:rPr>
          <w:color w:val="000000"/>
          <w:sz w:val="20"/>
          <w:szCs w:val="20"/>
        </w:rPr>
        <w:t xml:space="preserve"> организация обязана: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1) предоставить лицу, подавшему заявку на предоставление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полную и достоверную информацию о порядке и об условиях предоставления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о его правах и обязанностях, связанных с получением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>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2) </w:t>
      </w:r>
      <w:proofErr w:type="gramStart"/>
      <w:r w:rsidRPr="00AB1A51">
        <w:rPr>
          <w:color w:val="000000"/>
          <w:sz w:val="20"/>
          <w:szCs w:val="20"/>
        </w:rPr>
        <w:t>разместить копию</w:t>
      </w:r>
      <w:proofErr w:type="gramEnd"/>
      <w:r w:rsidRPr="00AB1A51">
        <w:rPr>
          <w:color w:val="000000"/>
          <w:sz w:val="20"/>
          <w:szCs w:val="20"/>
        </w:rPr>
        <w:t xml:space="preserve"> правил предоставления </w:t>
      </w:r>
      <w:proofErr w:type="spellStart"/>
      <w:r w:rsidRPr="00AB1A51">
        <w:rPr>
          <w:color w:val="000000"/>
          <w:sz w:val="20"/>
          <w:szCs w:val="20"/>
        </w:rPr>
        <w:t>микрозаймов</w:t>
      </w:r>
      <w:proofErr w:type="spellEnd"/>
      <w:r w:rsidRPr="00AB1A51">
        <w:rPr>
          <w:color w:val="000000"/>
          <w:sz w:val="20"/>
          <w:szCs w:val="20"/>
        </w:rPr>
        <w:t xml:space="preserve"> в месте, доступном для обозрения и ознакомления с ними любого заинтересованного лица, и в сети Интернет;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3) проинформировать лицо, подавшее заявку на предоставление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до получения им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 об условиях договора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о возможности и порядке изменения его условий по инициативе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организации и заемщика, о перечне и размере всех платежей, связанных с получением, обслуживанием и возвратом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а также с нарушением условий договора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>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4) гарантировать соблюдение тайны об операциях своих заемщиков. </w:t>
      </w:r>
      <w:proofErr w:type="gramStart"/>
      <w:r w:rsidRPr="00AB1A51">
        <w:rPr>
          <w:color w:val="000000"/>
          <w:sz w:val="20"/>
          <w:szCs w:val="20"/>
        </w:rPr>
        <w:t xml:space="preserve">Все работники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организации обязаны соблюдать тайну об операциях заемщиков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организации, а также об иных сведениях, устанавливаемых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организацией, за исключением случаев, установленных федеральными законами;</w:t>
      </w:r>
      <w:proofErr w:type="gramEnd"/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5) раскрывать неограниченному кругу лиц информацию о лицах, оказывающих существенное (прямое или косвенное) влияние на решения, принимаемые органами управления </w:t>
      </w:r>
      <w:proofErr w:type="spellStart"/>
      <w:r w:rsidRPr="00AB1A51">
        <w:rPr>
          <w:color w:val="000000"/>
          <w:sz w:val="20"/>
          <w:szCs w:val="20"/>
        </w:rPr>
        <w:t>микрофинансовой</w:t>
      </w:r>
      <w:proofErr w:type="spellEnd"/>
      <w:r w:rsidRPr="00AB1A51">
        <w:rPr>
          <w:color w:val="000000"/>
          <w:sz w:val="20"/>
          <w:szCs w:val="20"/>
        </w:rPr>
        <w:t xml:space="preserve"> организации, в порядке, установленном учредительными документами;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lastRenderedPageBreak/>
        <w:t xml:space="preserve">6) проинформировать лицо, подавшее заявку в </w:t>
      </w:r>
      <w:proofErr w:type="spellStart"/>
      <w:r w:rsidRPr="00AB1A51">
        <w:rPr>
          <w:color w:val="000000"/>
          <w:sz w:val="20"/>
          <w:szCs w:val="20"/>
        </w:rPr>
        <w:t>микрофинансовую</w:t>
      </w:r>
      <w:proofErr w:type="spellEnd"/>
      <w:r w:rsidRPr="00AB1A51">
        <w:rPr>
          <w:color w:val="000000"/>
          <w:sz w:val="20"/>
          <w:szCs w:val="20"/>
        </w:rPr>
        <w:t xml:space="preserve"> организацию на предоставление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, до получения им </w:t>
      </w:r>
      <w:proofErr w:type="spellStart"/>
      <w:r w:rsidRPr="00AB1A51">
        <w:rPr>
          <w:color w:val="000000"/>
          <w:sz w:val="20"/>
          <w:szCs w:val="20"/>
        </w:rPr>
        <w:t>микрозайма</w:t>
      </w:r>
      <w:proofErr w:type="spellEnd"/>
      <w:r w:rsidRPr="00AB1A51">
        <w:rPr>
          <w:color w:val="000000"/>
          <w:sz w:val="20"/>
          <w:szCs w:val="20"/>
        </w:rPr>
        <w:t xml:space="preserve"> о том, что данная </w:t>
      </w:r>
      <w:proofErr w:type="spellStart"/>
      <w:r w:rsidRPr="00AB1A51">
        <w:rPr>
          <w:color w:val="000000"/>
          <w:sz w:val="20"/>
          <w:szCs w:val="20"/>
        </w:rPr>
        <w:t>микрофинансовая</w:t>
      </w:r>
      <w:proofErr w:type="spellEnd"/>
      <w:r w:rsidRPr="00AB1A51">
        <w:rPr>
          <w:color w:val="000000"/>
          <w:sz w:val="20"/>
          <w:szCs w:val="20"/>
        </w:rPr>
        <w:t xml:space="preserve"> организация включена в государственный реестр </w:t>
      </w:r>
      <w:proofErr w:type="spellStart"/>
      <w:r w:rsidRPr="00AB1A51">
        <w:rPr>
          <w:color w:val="000000"/>
          <w:sz w:val="20"/>
          <w:szCs w:val="20"/>
        </w:rPr>
        <w:t>микрофинансовых</w:t>
      </w:r>
      <w:proofErr w:type="spellEnd"/>
      <w:r w:rsidRPr="00AB1A51">
        <w:rPr>
          <w:color w:val="000000"/>
          <w:sz w:val="20"/>
          <w:szCs w:val="20"/>
        </w:rPr>
        <w:t xml:space="preserve"> организаций, и по его требованию предоставить копию документа, подтверждающего внесение сведений о юридическом лице в государственный реестр </w:t>
      </w:r>
      <w:proofErr w:type="spellStart"/>
      <w:r w:rsidRPr="00AB1A51">
        <w:rPr>
          <w:color w:val="000000"/>
          <w:sz w:val="20"/>
          <w:szCs w:val="20"/>
        </w:rPr>
        <w:t>микрофинансовых</w:t>
      </w:r>
      <w:proofErr w:type="spellEnd"/>
      <w:r w:rsidRPr="00AB1A51">
        <w:rPr>
          <w:color w:val="000000"/>
          <w:sz w:val="20"/>
          <w:szCs w:val="20"/>
        </w:rPr>
        <w:t xml:space="preserve"> организаций.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proofErr w:type="gramStart"/>
      <w:r w:rsidRPr="00AB1A51">
        <w:rPr>
          <w:color w:val="000000"/>
          <w:sz w:val="20"/>
          <w:szCs w:val="20"/>
        </w:rPr>
        <w:t xml:space="preserve">Как следует из статьи 3 Федерального закона от 21.12.2013 № 353-ФЗ «О потребительском кредите (займе)», если </w:t>
      </w:r>
      <w:proofErr w:type="spellStart"/>
      <w:r w:rsidRPr="00AB1A51">
        <w:rPr>
          <w:color w:val="000000"/>
          <w:sz w:val="20"/>
          <w:szCs w:val="20"/>
        </w:rPr>
        <w:t>микрофинансовые</w:t>
      </w:r>
      <w:proofErr w:type="spellEnd"/>
      <w:r w:rsidRPr="00AB1A51">
        <w:rPr>
          <w:color w:val="000000"/>
          <w:sz w:val="20"/>
          <w:szCs w:val="20"/>
        </w:rPr>
        <w:t xml:space="preserve"> организации предоставляют потребительские займы в денежной форме за счет систематически привлекаемых на возвратной и платной основе денежных средств и (или) выдают не менее четырех займов в течение одного года, то такие МФО выступают как организации, осуществляющие профессиональную деятельность по предоставлению потребительских займов.</w:t>
      </w:r>
      <w:proofErr w:type="gramEnd"/>
      <w:r w:rsidRPr="00AB1A51">
        <w:rPr>
          <w:color w:val="000000"/>
          <w:sz w:val="20"/>
          <w:szCs w:val="20"/>
        </w:rPr>
        <w:t xml:space="preserve"> Следовательно, на указанные МФО распространяется действие Федерального закона от 21.12.2013 № 353-ФЗ.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В этой связи согласно части 4 статьи 5 Федерального закона от 21.12.2013 № 353-ФЗ, МФО в местах оказания услуг (местах приема заявлений о предоставлении потребительского займа, в том числе в информационно-телекоммуникационной сети «Интернет») должна размещаться следующая информация об условиях предоставления, использования и возврата потребительского займа: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1) наименование МФО, место нахождения постоянно действующего исполнительного органа, контактный телефон, по которому осуществляется связь с МФО, официальный сайт в информационно-телекоммуникационной сети «Интернет», информация о внесении сведений в соответствующий государственный реестр;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 xml:space="preserve">2) требования к заемщику, которые установлены </w:t>
      </w:r>
      <w:proofErr w:type="gramStart"/>
      <w:r w:rsidRPr="00AB1A51">
        <w:rPr>
          <w:color w:val="000000"/>
          <w:sz w:val="20"/>
          <w:szCs w:val="20"/>
        </w:rPr>
        <w:t>МФО</w:t>
      </w:r>
      <w:proofErr w:type="gramEnd"/>
      <w:r w:rsidRPr="00AB1A51">
        <w:rPr>
          <w:color w:val="000000"/>
          <w:sz w:val="20"/>
          <w:szCs w:val="20"/>
        </w:rPr>
        <w:t xml:space="preserve"> и выполнение которых является обязательным для предоставления потребительского займа;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3) сроки рассмотрения оформленного заемщиком заявления о предоставлении потребительского займа и принятия МФО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4) виды потребительского займа;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lastRenderedPageBreak/>
        <w:t>5) суммы потребительского займа и сроки его возврата;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6) валюты, в которых предоставляется потребительский заем (рубли);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7) способы предоставления потребительского займа, в том числе с использованием заемщиком электронных сре</w:t>
      </w:r>
      <w:proofErr w:type="gramStart"/>
      <w:r w:rsidRPr="00AB1A51">
        <w:rPr>
          <w:color w:val="000000"/>
          <w:sz w:val="20"/>
          <w:szCs w:val="20"/>
        </w:rPr>
        <w:t>дств пл</w:t>
      </w:r>
      <w:proofErr w:type="gramEnd"/>
      <w:r w:rsidRPr="00AB1A51">
        <w:rPr>
          <w:color w:val="000000"/>
          <w:sz w:val="20"/>
          <w:szCs w:val="20"/>
        </w:rPr>
        <w:t>атежа;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8) процентные ставки в процентах годовых, а при применении переменных процентных ставок - порядок их определения;</w:t>
      </w:r>
    </w:p>
    <w:p w:rsidR="003F4CE9" w:rsidRPr="00AB1A51" w:rsidRDefault="003F4CE9" w:rsidP="003F4CE9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9) виды и суммы иных платежей заемщика по договору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10) диапазоны значений полной стоимости потребительского кредита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11) периодичность платежей заемщика при возврате потребительского займа, уплате процентов и иных платежей по займу;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12) способы возврата заемщиком потребительского займа, уплаты процентов по нему, включая бесплатный способ исполнения заемщиком обязательств по договору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13) сроки, в течение которых заемщик вправе отказаться от получения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14) способы обеспечения исполнения обязательств по договору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15) ответственность заемщика за ненадлежащее исполнение договора потребительского займа, размеры неустойки (штрафа, пени), порядок ее расчета, а также информация о том, в каких случаях данные санкции могут быть применены;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16) 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договоров и (или) оказанием таких услуг либо отказаться от них;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17) 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lastRenderedPageBreak/>
        <w:t>18) информация о возможности запрета уступки МФО третьим лицам прав (требований) по договору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19) порядок предоставления заемщиком информации об использовании потребительского займа (при включении в договор потребительского займа условия об использовании заемщиком полученного потребительского займа на определенные цели);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20) подсудность споров по искам кредитора к МФО;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21) формуляры или иные стандартные формы, в которых определены общие условия договора потребительского займа.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При этом указанная выше информация доводится до сведения заемщика бесплатно.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Как следует из статьи 5 Федерального закона от 21.12.2013 № 353-ФЗ, договор потребительского займа состоит не только из общих (указанных выше) условий, но и условий, которые согласовываются МФО и заемщиком индивидуально, включая следующие условия: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1) сумма потребительского займа или лимит кредитования и порядок его изменения;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2) срок действия договора потребительского займа и срок возврата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3) процентная ставка в процентах годовых, а при применении переменной процентной ставки - порядок ее определения;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4) количество, размер и периодичность (сроки) платежей заемщика по договору потребительского займа или порядок определения этих платежей;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5) порядок изменения количества, размера и периодичности (сроков) платежей заемщика при частичном досрочном возврате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proofErr w:type="gramStart"/>
      <w:r w:rsidRPr="00AB1A51">
        <w:rPr>
          <w:color w:val="000000"/>
          <w:sz w:val="20"/>
          <w:szCs w:val="20"/>
        </w:rPr>
        <w:t xml:space="preserve">6) способы исполнения денежных обязательств по договору потребительского займа в населенном пункте по месту нахождения заемщика, указанному в договоре потребительского займа, включая бесплатный способ исполнения заемщиком обязательств по такому договору в населенном пункте по месту получения заемщиком оферты (предложения заключить договор) или по месту нахождения </w:t>
      </w:r>
      <w:r w:rsidRPr="00AB1A51">
        <w:rPr>
          <w:color w:val="000000"/>
          <w:sz w:val="20"/>
          <w:szCs w:val="20"/>
        </w:rPr>
        <w:lastRenderedPageBreak/>
        <w:t>заемщика, указанному в договоре потребительского займа;</w:t>
      </w:r>
      <w:proofErr w:type="gramEnd"/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7) указание о необходимости заключения заемщиком иных договоров, требуемых для заключения или исполнения договора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8) указание о необходимости предоставления обеспечения исполнения обязательств по договору потребительского займа и требования к такому обеспечению;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9) цели использования заемщиком потребительского займа (при включении в договор потребительского займа условия об использовании заемщиком потребительского займа на определенные цели);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10) ответственность заемщика за ненадлежащее исполнение условий договора потребительского займа, размер неустойки (штрафа, пени) или порядок их определения;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11) возможность запрета уступки МФО третьим лицам прав (требований) по договору потребительского займа;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12) согласие заемщика с общими условиями договора потребительского займа соответствующего вида;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13) услуги, оказываемые МФО заемщику за отдельную плату и необходимые для заключения договора потребительского займа (при наличии), их цена или порядок ее определения (при наличии), а также подтверждение согласия заемщика на их оказание;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14) способ обмена информацией между МФО и заемщиком.</w:t>
      </w:r>
    </w:p>
    <w:p w:rsidR="00AB1A51" w:rsidRPr="00AB1A51" w:rsidRDefault="00AB1A51" w:rsidP="00AB1A51">
      <w:pPr>
        <w:pStyle w:val="a7"/>
        <w:shd w:val="clear" w:color="auto" w:fill="FFFFFF"/>
        <w:spacing w:before="0" w:after="150"/>
        <w:jc w:val="both"/>
        <w:rPr>
          <w:color w:val="555555"/>
          <w:sz w:val="20"/>
          <w:szCs w:val="20"/>
        </w:rPr>
      </w:pPr>
      <w:r w:rsidRPr="00AB1A51">
        <w:rPr>
          <w:color w:val="000000"/>
          <w:sz w:val="20"/>
          <w:szCs w:val="20"/>
        </w:rPr>
        <w:t>В индивидуальные условия договора потребительского займа также могут быть включены иные условия. В соответствии с частью 12 статьи 5 Федерального закона от 21.12.2013 № 353-ФЗ, индивидуальные условия договора потребительского займа отражаются в виде таблицы, форма которой установлена нормативным актом Банка России, начиная с первой страницы договора потребительского займа, четким, хорошо читаемым шрифтом.</w:t>
      </w: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1664C9" w:rsidRDefault="00BB15DC" w:rsidP="009B1521">
      <w:pPr>
        <w:pStyle w:val="a7"/>
        <w:shd w:val="clear" w:color="auto" w:fill="FFFFFF"/>
        <w:spacing w:before="0" w:after="0"/>
        <w:jc w:val="both"/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Pr="002A723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9B1521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5845A1" w:rsidRDefault="005845A1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BB15DC">
      <w:pPr>
        <w:pStyle w:val="a7"/>
        <w:shd w:val="clear" w:color="auto" w:fill="FFFFFF"/>
        <w:spacing w:before="0" w:after="0"/>
        <w:jc w:val="both"/>
        <w:rPr>
          <w:sz w:val="26"/>
          <w:szCs w:val="26"/>
        </w:rPr>
      </w:pPr>
    </w:p>
    <w:p w:rsidR="00BB15DC" w:rsidRDefault="00BB15DC" w:rsidP="00BB15DC">
      <w:pPr>
        <w:rPr>
          <w:color w:val="000000"/>
          <w:sz w:val="24"/>
          <w:szCs w:val="24"/>
          <w:lang w:eastAsia="ru-RU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p w:rsidR="00BB15DC" w:rsidRPr="00D552B9" w:rsidRDefault="00BB15DC" w:rsidP="009B1521">
      <w:pPr>
        <w:pStyle w:val="p1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sz w:val="26"/>
          <w:szCs w:val="26"/>
        </w:rPr>
      </w:pPr>
    </w:p>
    <w:sectPr w:rsidR="00BB15DC" w:rsidRPr="00D552B9" w:rsidSect="006912BC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B6" w:rsidRDefault="00A973B6" w:rsidP="006D3B8C">
      <w:r>
        <w:separator/>
      </w:r>
    </w:p>
  </w:endnote>
  <w:endnote w:type="continuationSeparator" w:id="0">
    <w:p w:rsidR="00A973B6" w:rsidRDefault="00A973B6" w:rsidP="006D3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B6" w:rsidRDefault="00A973B6" w:rsidP="006D3B8C">
      <w:r>
        <w:separator/>
      </w:r>
    </w:p>
  </w:footnote>
  <w:footnote w:type="continuationSeparator" w:id="0">
    <w:p w:rsidR="00A973B6" w:rsidRDefault="00A973B6" w:rsidP="006D3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2429DE"/>
    <w:multiLevelType w:val="multilevel"/>
    <w:tmpl w:val="A630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40248"/>
    <w:multiLevelType w:val="multilevel"/>
    <w:tmpl w:val="5A4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271F3"/>
    <w:multiLevelType w:val="multilevel"/>
    <w:tmpl w:val="95A44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DB7214E"/>
    <w:multiLevelType w:val="multilevel"/>
    <w:tmpl w:val="E0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670E1"/>
    <w:multiLevelType w:val="hybridMultilevel"/>
    <w:tmpl w:val="66AE99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9B7C46"/>
    <w:multiLevelType w:val="multilevel"/>
    <w:tmpl w:val="B22E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E7710"/>
    <w:multiLevelType w:val="multilevel"/>
    <w:tmpl w:val="D4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6456E"/>
    <w:multiLevelType w:val="multilevel"/>
    <w:tmpl w:val="443C3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51265"/>
    <w:multiLevelType w:val="multilevel"/>
    <w:tmpl w:val="C48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13F75"/>
    <w:multiLevelType w:val="multilevel"/>
    <w:tmpl w:val="4D369B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6A614B8"/>
    <w:multiLevelType w:val="multilevel"/>
    <w:tmpl w:val="03D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A03192"/>
    <w:multiLevelType w:val="multilevel"/>
    <w:tmpl w:val="BACA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B4BAE"/>
    <w:multiLevelType w:val="multilevel"/>
    <w:tmpl w:val="7EE8E8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7256226"/>
    <w:multiLevelType w:val="multilevel"/>
    <w:tmpl w:val="316E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4710"/>
    <w:multiLevelType w:val="multilevel"/>
    <w:tmpl w:val="0D5E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9E12F7"/>
    <w:multiLevelType w:val="multilevel"/>
    <w:tmpl w:val="69C64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1EF3A7E"/>
    <w:multiLevelType w:val="multilevel"/>
    <w:tmpl w:val="830E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25DA9"/>
    <w:multiLevelType w:val="multilevel"/>
    <w:tmpl w:val="D99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1821C4"/>
    <w:multiLevelType w:val="multilevel"/>
    <w:tmpl w:val="3CC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11"/>
  </w:num>
  <w:num w:numId="9">
    <w:abstractNumId w:val="16"/>
  </w:num>
  <w:num w:numId="10">
    <w:abstractNumId w:val="22"/>
  </w:num>
  <w:num w:numId="11">
    <w:abstractNumId w:val="9"/>
  </w:num>
  <w:num w:numId="12">
    <w:abstractNumId w:val="19"/>
  </w:num>
  <w:num w:numId="13">
    <w:abstractNumId w:val="17"/>
  </w:num>
  <w:num w:numId="14">
    <w:abstractNumId w:val="14"/>
  </w:num>
  <w:num w:numId="15">
    <w:abstractNumId w:val="23"/>
  </w:num>
  <w:num w:numId="16">
    <w:abstractNumId w:val="10"/>
  </w:num>
  <w:num w:numId="17">
    <w:abstractNumId w:val="20"/>
  </w:num>
  <w:num w:numId="18">
    <w:abstractNumId w:val="3"/>
  </w:num>
  <w:num w:numId="19">
    <w:abstractNumId w:val="24"/>
  </w:num>
  <w:num w:numId="20">
    <w:abstractNumId w:val="2"/>
  </w:num>
  <w:num w:numId="21">
    <w:abstractNumId w:val="18"/>
  </w:num>
  <w:num w:numId="22">
    <w:abstractNumId w:val="15"/>
  </w:num>
  <w:num w:numId="23">
    <w:abstractNumId w:val="13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9F"/>
    <w:rsid w:val="00020F7E"/>
    <w:rsid w:val="00042E8F"/>
    <w:rsid w:val="00044F7C"/>
    <w:rsid w:val="00050E37"/>
    <w:rsid w:val="0005227B"/>
    <w:rsid w:val="000659B2"/>
    <w:rsid w:val="0006667F"/>
    <w:rsid w:val="00073EFD"/>
    <w:rsid w:val="00080791"/>
    <w:rsid w:val="00090FD6"/>
    <w:rsid w:val="000961A9"/>
    <w:rsid w:val="00097C7A"/>
    <w:rsid w:val="000A204D"/>
    <w:rsid w:val="000A4783"/>
    <w:rsid w:val="000A5E12"/>
    <w:rsid w:val="000A7F84"/>
    <w:rsid w:val="000C2A0E"/>
    <w:rsid w:val="000D2803"/>
    <w:rsid w:val="000D5000"/>
    <w:rsid w:val="000E4486"/>
    <w:rsid w:val="000E74CB"/>
    <w:rsid w:val="00114ED9"/>
    <w:rsid w:val="00134159"/>
    <w:rsid w:val="00136542"/>
    <w:rsid w:val="0014028A"/>
    <w:rsid w:val="001445DD"/>
    <w:rsid w:val="00155955"/>
    <w:rsid w:val="00155960"/>
    <w:rsid w:val="001664C9"/>
    <w:rsid w:val="001806E0"/>
    <w:rsid w:val="00180DB1"/>
    <w:rsid w:val="00185DF4"/>
    <w:rsid w:val="001A0EC4"/>
    <w:rsid w:val="001A1C79"/>
    <w:rsid w:val="001B743A"/>
    <w:rsid w:val="001C77D8"/>
    <w:rsid w:val="001D4E0F"/>
    <w:rsid w:val="001F2199"/>
    <w:rsid w:val="001F49E8"/>
    <w:rsid w:val="001F770E"/>
    <w:rsid w:val="00202D49"/>
    <w:rsid w:val="00211A71"/>
    <w:rsid w:val="00263D1F"/>
    <w:rsid w:val="00276F9C"/>
    <w:rsid w:val="002823B0"/>
    <w:rsid w:val="002A1728"/>
    <w:rsid w:val="002A723C"/>
    <w:rsid w:val="002A787D"/>
    <w:rsid w:val="002B5E75"/>
    <w:rsid w:val="002C5003"/>
    <w:rsid w:val="002C6CEC"/>
    <w:rsid w:val="002E1D38"/>
    <w:rsid w:val="002E478F"/>
    <w:rsid w:val="002F17BD"/>
    <w:rsid w:val="002F1F3B"/>
    <w:rsid w:val="00316ADC"/>
    <w:rsid w:val="003374E8"/>
    <w:rsid w:val="00340461"/>
    <w:rsid w:val="00340FA6"/>
    <w:rsid w:val="00343662"/>
    <w:rsid w:val="00374DDA"/>
    <w:rsid w:val="003858CA"/>
    <w:rsid w:val="00397024"/>
    <w:rsid w:val="003A1285"/>
    <w:rsid w:val="003A2F25"/>
    <w:rsid w:val="003A6BD9"/>
    <w:rsid w:val="003B4076"/>
    <w:rsid w:val="003E270F"/>
    <w:rsid w:val="003E43B3"/>
    <w:rsid w:val="003F4C5A"/>
    <w:rsid w:val="003F4CE9"/>
    <w:rsid w:val="003F6FD4"/>
    <w:rsid w:val="00410BC4"/>
    <w:rsid w:val="00437F37"/>
    <w:rsid w:val="00447AE3"/>
    <w:rsid w:val="00454300"/>
    <w:rsid w:val="00457070"/>
    <w:rsid w:val="00484C57"/>
    <w:rsid w:val="004932EE"/>
    <w:rsid w:val="00496BF9"/>
    <w:rsid w:val="004A176E"/>
    <w:rsid w:val="004A259B"/>
    <w:rsid w:val="004C3951"/>
    <w:rsid w:val="004E3B42"/>
    <w:rsid w:val="004E7A17"/>
    <w:rsid w:val="004F0CDE"/>
    <w:rsid w:val="004F0D44"/>
    <w:rsid w:val="004F68BA"/>
    <w:rsid w:val="005000C9"/>
    <w:rsid w:val="00525850"/>
    <w:rsid w:val="00551991"/>
    <w:rsid w:val="005705CE"/>
    <w:rsid w:val="00571980"/>
    <w:rsid w:val="005845A1"/>
    <w:rsid w:val="005B0221"/>
    <w:rsid w:val="005C2092"/>
    <w:rsid w:val="005D1918"/>
    <w:rsid w:val="005D22D0"/>
    <w:rsid w:val="005D7F46"/>
    <w:rsid w:val="005E6FE0"/>
    <w:rsid w:val="00603423"/>
    <w:rsid w:val="00626A86"/>
    <w:rsid w:val="006306B7"/>
    <w:rsid w:val="00633EC7"/>
    <w:rsid w:val="00636691"/>
    <w:rsid w:val="00673B60"/>
    <w:rsid w:val="006912BC"/>
    <w:rsid w:val="00695B16"/>
    <w:rsid w:val="006A6785"/>
    <w:rsid w:val="006B154A"/>
    <w:rsid w:val="006B4E0E"/>
    <w:rsid w:val="006D3B8C"/>
    <w:rsid w:val="006E77E1"/>
    <w:rsid w:val="0071451F"/>
    <w:rsid w:val="00714643"/>
    <w:rsid w:val="007232E1"/>
    <w:rsid w:val="007262CF"/>
    <w:rsid w:val="00751D1A"/>
    <w:rsid w:val="00766649"/>
    <w:rsid w:val="00791728"/>
    <w:rsid w:val="0079773E"/>
    <w:rsid w:val="007C14A0"/>
    <w:rsid w:val="007E6B44"/>
    <w:rsid w:val="0081370E"/>
    <w:rsid w:val="008166B5"/>
    <w:rsid w:val="0082505B"/>
    <w:rsid w:val="00825B1F"/>
    <w:rsid w:val="008454E3"/>
    <w:rsid w:val="008C0C31"/>
    <w:rsid w:val="008C365B"/>
    <w:rsid w:val="008E6BED"/>
    <w:rsid w:val="008F30E6"/>
    <w:rsid w:val="00906051"/>
    <w:rsid w:val="00907F9F"/>
    <w:rsid w:val="0093276F"/>
    <w:rsid w:val="009369CF"/>
    <w:rsid w:val="00936CB4"/>
    <w:rsid w:val="00964A54"/>
    <w:rsid w:val="00980AB3"/>
    <w:rsid w:val="009B1521"/>
    <w:rsid w:val="009C36D8"/>
    <w:rsid w:val="009D27AD"/>
    <w:rsid w:val="009E75CE"/>
    <w:rsid w:val="00A1792F"/>
    <w:rsid w:val="00A4064B"/>
    <w:rsid w:val="00A4704C"/>
    <w:rsid w:val="00A546E1"/>
    <w:rsid w:val="00A61639"/>
    <w:rsid w:val="00A7267A"/>
    <w:rsid w:val="00A76470"/>
    <w:rsid w:val="00A76944"/>
    <w:rsid w:val="00A83490"/>
    <w:rsid w:val="00A940AE"/>
    <w:rsid w:val="00A973B6"/>
    <w:rsid w:val="00AB1A51"/>
    <w:rsid w:val="00AB4B0A"/>
    <w:rsid w:val="00AD2E29"/>
    <w:rsid w:val="00AF0432"/>
    <w:rsid w:val="00B06E24"/>
    <w:rsid w:val="00B23D03"/>
    <w:rsid w:val="00B32EE3"/>
    <w:rsid w:val="00B812B6"/>
    <w:rsid w:val="00B9686B"/>
    <w:rsid w:val="00BB15DC"/>
    <w:rsid w:val="00BB4567"/>
    <w:rsid w:val="00BC2CAF"/>
    <w:rsid w:val="00BC694F"/>
    <w:rsid w:val="00BD2598"/>
    <w:rsid w:val="00BD48B0"/>
    <w:rsid w:val="00C07427"/>
    <w:rsid w:val="00C12881"/>
    <w:rsid w:val="00C16954"/>
    <w:rsid w:val="00C35110"/>
    <w:rsid w:val="00C44743"/>
    <w:rsid w:val="00C54E8C"/>
    <w:rsid w:val="00C5542F"/>
    <w:rsid w:val="00C97400"/>
    <w:rsid w:val="00CA3142"/>
    <w:rsid w:val="00CB4308"/>
    <w:rsid w:val="00CE5523"/>
    <w:rsid w:val="00D16993"/>
    <w:rsid w:val="00D32D9E"/>
    <w:rsid w:val="00D3392A"/>
    <w:rsid w:val="00D346F4"/>
    <w:rsid w:val="00D420AF"/>
    <w:rsid w:val="00D42AE4"/>
    <w:rsid w:val="00D552B9"/>
    <w:rsid w:val="00D67B37"/>
    <w:rsid w:val="00D7064B"/>
    <w:rsid w:val="00D751F5"/>
    <w:rsid w:val="00D94942"/>
    <w:rsid w:val="00D96D31"/>
    <w:rsid w:val="00DC399E"/>
    <w:rsid w:val="00DD73B1"/>
    <w:rsid w:val="00DF4D53"/>
    <w:rsid w:val="00E01A7E"/>
    <w:rsid w:val="00E22F4D"/>
    <w:rsid w:val="00E37D10"/>
    <w:rsid w:val="00E53141"/>
    <w:rsid w:val="00E75FBC"/>
    <w:rsid w:val="00E90B7A"/>
    <w:rsid w:val="00E91A2B"/>
    <w:rsid w:val="00EA0C11"/>
    <w:rsid w:val="00EA25DF"/>
    <w:rsid w:val="00EC5845"/>
    <w:rsid w:val="00ED63D4"/>
    <w:rsid w:val="00F015DF"/>
    <w:rsid w:val="00F0458A"/>
    <w:rsid w:val="00F04A5C"/>
    <w:rsid w:val="00F07309"/>
    <w:rsid w:val="00F368F9"/>
    <w:rsid w:val="00F8682E"/>
    <w:rsid w:val="00F9226B"/>
    <w:rsid w:val="00F97B0C"/>
    <w:rsid w:val="00FB5669"/>
    <w:rsid w:val="00FB7BC4"/>
    <w:rsid w:val="00FC3853"/>
    <w:rsid w:val="00FD3012"/>
    <w:rsid w:val="00FD6B41"/>
    <w:rsid w:val="00FE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CDE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D751F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D22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D22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71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CDE"/>
    <w:rPr>
      <w:rFonts w:ascii="Symbol" w:hAnsi="Symbol" w:cs="Symbol"/>
    </w:rPr>
  </w:style>
  <w:style w:type="character" w:customStyle="1" w:styleId="WW8Num1z1">
    <w:name w:val="WW8Num1z1"/>
    <w:rsid w:val="004F0CDE"/>
    <w:rPr>
      <w:rFonts w:ascii="Courier New" w:hAnsi="Courier New" w:cs="Courier New"/>
    </w:rPr>
  </w:style>
  <w:style w:type="character" w:customStyle="1" w:styleId="WW8Num1z2">
    <w:name w:val="WW8Num1z2"/>
    <w:rsid w:val="004F0CDE"/>
    <w:rPr>
      <w:rFonts w:ascii="Wingdings" w:hAnsi="Wingdings" w:cs="Wingdings"/>
    </w:rPr>
  </w:style>
  <w:style w:type="character" w:customStyle="1" w:styleId="WW8Num2z0">
    <w:name w:val="WW8Num2z0"/>
    <w:rsid w:val="004F0CDE"/>
    <w:rPr>
      <w:rFonts w:ascii="Symbol" w:hAnsi="Symbol" w:cs="Symbol"/>
    </w:rPr>
  </w:style>
  <w:style w:type="character" w:customStyle="1" w:styleId="WW8Num2z1">
    <w:name w:val="WW8Num2z1"/>
    <w:rsid w:val="004F0CDE"/>
    <w:rPr>
      <w:rFonts w:ascii="Courier New" w:hAnsi="Courier New" w:cs="Courier New"/>
    </w:rPr>
  </w:style>
  <w:style w:type="character" w:customStyle="1" w:styleId="WW8Num2z2">
    <w:name w:val="WW8Num2z2"/>
    <w:rsid w:val="004F0CDE"/>
    <w:rPr>
      <w:rFonts w:ascii="Wingdings" w:hAnsi="Wingdings" w:cs="Wingdings"/>
    </w:rPr>
  </w:style>
  <w:style w:type="character" w:customStyle="1" w:styleId="WW8Num3z0">
    <w:name w:val="WW8Num3z0"/>
    <w:rsid w:val="004F0CDE"/>
    <w:rPr>
      <w:rFonts w:ascii="Symbol" w:hAnsi="Symbol" w:cs="Symbol"/>
    </w:rPr>
  </w:style>
  <w:style w:type="character" w:customStyle="1" w:styleId="WW8Num3z1">
    <w:name w:val="WW8Num3z1"/>
    <w:rsid w:val="004F0CDE"/>
    <w:rPr>
      <w:rFonts w:ascii="Courier New" w:hAnsi="Courier New" w:cs="Courier New"/>
    </w:rPr>
  </w:style>
  <w:style w:type="character" w:customStyle="1" w:styleId="WW8Num3z2">
    <w:name w:val="WW8Num3z2"/>
    <w:rsid w:val="004F0CDE"/>
    <w:rPr>
      <w:rFonts w:ascii="Wingdings" w:hAnsi="Wingdings" w:cs="Wingdings"/>
    </w:rPr>
  </w:style>
  <w:style w:type="character" w:customStyle="1" w:styleId="WW8Num5z0">
    <w:name w:val="WW8Num5z0"/>
    <w:rsid w:val="004F0CDE"/>
    <w:rPr>
      <w:rFonts w:ascii="Symbol" w:hAnsi="Symbol" w:cs="Symbol"/>
    </w:rPr>
  </w:style>
  <w:style w:type="character" w:customStyle="1" w:styleId="WW8Num6z0">
    <w:name w:val="WW8Num6z0"/>
    <w:rsid w:val="004F0CDE"/>
    <w:rPr>
      <w:b/>
    </w:rPr>
  </w:style>
  <w:style w:type="character" w:customStyle="1" w:styleId="WW8Num7z0">
    <w:name w:val="WW8Num7z0"/>
    <w:rsid w:val="004F0CDE"/>
    <w:rPr>
      <w:rFonts w:ascii="Symbol" w:hAnsi="Symbol" w:cs="Symbol"/>
      <w:sz w:val="20"/>
    </w:rPr>
  </w:style>
  <w:style w:type="character" w:customStyle="1" w:styleId="WW8Num7z1">
    <w:name w:val="WW8Num7z1"/>
    <w:rsid w:val="004F0CDE"/>
    <w:rPr>
      <w:rFonts w:ascii="Courier New" w:hAnsi="Courier New" w:cs="Courier New"/>
      <w:sz w:val="20"/>
    </w:rPr>
  </w:style>
  <w:style w:type="character" w:customStyle="1" w:styleId="WW8Num7z2">
    <w:name w:val="WW8Num7z2"/>
    <w:rsid w:val="004F0CDE"/>
    <w:rPr>
      <w:rFonts w:ascii="Wingdings" w:hAnsi="Wingdings" w:cs="Wingdings"/>
      <w:sz w:val="20"/>
    </w:rPr>
  </w:style>
  <w:style w:type="character" w:customStyle="1" w:styleId="WW8Num8z0">
    <w:name w:val="WW8Num8z0"/>
    <w:rsid w:val="004F0CDE"/>
    <w:rPr>
      <w:rFonts w:ascii="Symbol" w:hAnsi="Symbol" w:cs="Symbol"/>
    </w:rPr>
  </w:style>
  <w:style w:type="character" w:customStyle="1" w:styleId="WW8Num8z1">
    <w:name w:val="WW8Num8z1"/>
    <w:rsid w:val="004F0CDE"/>
    <w:rPr>
      <w:rFonts w:ascii="Courier New" w:hAnsi="Courier New" w:cs="Courier New"/>
    </w:rPr>
  </w:style>
  <w:style w:type="character" w:customStyle="1" w:styleId="WW8Num8z2">
    <w:name w:val="WW8Num8z2"/>
    <w:rsid w:val="004F0CDE"/>
    <w:rPr>
      <w:rFonts w:ascii="Wingdings" w:hAnsi="Wingdings" w:cs="Wingdings"/>
    </w:rPr>
  </w:style>
  <w:style w:type="character" w:customStyle="1" w:styleId="11">
    <w:name w:val="Основной шрифт абзаца1"/>
    <w:rsid w:val="004F0CDE"/>
  </w:style>
  <w:style w:type="character" w:styleId="a3">
    <w:name w:val="Hyperlink"/>
    <w:uiPriority w:val="99"/>
    <w:rsid w:val="004F0CD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F0CDE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4F0CDE"/>
    <w:pPr>
      <w:spacing w:after="120"/>
    </w:pPr>
  </w:style>
  <w:style w:type="paragraph" w:styleId="a6">
    <w:name w:val="List"/>
    <w:basedOn w:val="a5"/>
    <w:rsid w:val="004F0CDE"/>
    <w:rPr>
      <w:rFonts w:cs="Mangal"/>
    </w:rPr>
  </w:style>
  <w:style w:type="paragraph" w:customStyle="1" w:styleId="12">
    <w:name w:val="Название1"/>
    <w:basedOn w:val="a"/>
    <w:rsid w:val="004F0C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0CD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4F0CDE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4570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5707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751F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5D22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b">
    <w:name w:val="header"/>
    <w:basedOn w:val="a"/>
    <w:link w:val="ac"/>
    <w:rsid w:val="006D3B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3B8C"/>
    <w:rPr>
      <w:sz w:val="28"/>
      <w:szCs w:val="28"/>
      <w:lang w:eastAsia="ar-SA"/>
    </w:rPr>
  </w:style>
  <w:style w:type="paragraph" w:styleId="ad">
    <w:name w:val="footer"/>
    <w:basedOn w:val="a"/>
    <w:link w:val="ae"/>
    <w:rsid w:val="006D3B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3B8C"/>
    <w:rPr>
      <w:sz w:val="28"/>
      <w:szCs w:val="28"/>
      <w:lang w:eastAsia="ar-SA"/>
    </w:rPr>
  </w:style>
  <w:style w:type="paragraph" w:styleId="af">
    <w:name w:val="List Paragraph"/>
    <w:basedOn w:val="a"/>
    <w:uiPriority w:val="34"/>
    <w:qFormat/>
    <w:rsid w:val="006D3B8C"/>
    <w:pPr>
      <w:ind w:left="720"/>
      <w:contextualSpacing/>
    </w:pPr>
  </w:style>
  <w:style w:type="paragraph" w:styleId="af0">
    <w:name w:val="No Spacing"/>
    <w:uiPriority w:val="1"/>
    <w:qFormat/>
    <w:rsid w:val="001806E0"/>
    <w:pPr>
      <w:suppressAutoHyphens/>
    </w:pPr>
    <w:rPr>
      <w:sz w:val="28"/>
      <w:szCs w:val="28"/>
      <w:lang w:eastAsia="ar-SA"/>
    </w:rPr>
  </w:style>
  <w:style w:type="paragraph" w:customStyle="1" w:styleId="p1">
    <w:name w:val="_p1"/>
    <w:basedOn w:val="a"/>
    <w:rsid w:val="00E37D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5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qa-text-wrap">
    <w:name w:val="qa-text-wrap"/>
    <w:basedOn w:val="a0"/>
    <w:rsid w:val="00BD48B0"/>
  </w:style>
  <w:style w:type="character" w:customStyle="1" w:styleId="qa-hint">
    <w:name w:val="qa-hint"/>
    <w:basedOn w:val="a0"/>
    <w:rsid w:val="00BD48B0"/>
  </w:style>
  <w:style w:type="character" w:customStyle="1" w:styleId="qa-card-title">
    <w:name w:val="qa-card-title"/>
    <w:basedOn w:val="a0"/>
    <w:rsid w:val="006912BC"/>
  </w:style>
  <w:style w:type="paragraph" w:customStyle="1" w:styleId="dt-p">
    <w:name w:val="dt-p"/>
    <w:basedOn w:val="a"/>
    <w:rsid w:val="00E90B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E90B7A"/>
  </w:style>
  <w:style w:type="paragraph" w:customStyle="1" w:styleId="s1">
    <w:name w:val="s_1"/>
    <w:basedOn w:val="a"/>
    <w:rsid w:val="00A7267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1A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3F4C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6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6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6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12854</CharactersWithSpaces>
  <SharedDoc>false</SharedDoc>
  <HLinks>
    <vt:vector size="6" baseType="variant"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43</cp:revision>
  <cp:lastPrinted>2018-08-14T02:37:00Z</cp:lastPrinted>
  <dcterms:created xsi:type="dcterms:W3CDTF">2025-01-13T01:38:00Z</dcterms:created>
  <dcterms:modified xsi:type="dcterms:W3CDTF">2025-05-16T05:35:00Z</dcterms:modified>
</cp:coreProperties>
</file>