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79" w:rsidRPr="005C6279" w:rsidRDefault="005C6279" w:rsidP="00A4071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 w:rsidRPr="005C6279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>Пребиотики, пробиотики и синбиотики: разобраться и найти отличия</w:t>
      </w:r>
    </w:p>
    <w:p w:rsidR="005C6279" w:rsidRPr="005C6279" w:rsidRDefault="005C6279" w:rsidP="005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5940425" cy="3330346"/>
            <wp:effectExtent l="19050" t="0" r="3175" b="0"/>
            <wp:docPr id="1" name="Рисунок 1" descr="C:\Users\User\Desktop\Пребиотики, пробиотики и синбиотики разобраться и найти отличия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биотики, пробиотики и синбиотики разобраться и найти отличия_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Питание современного человека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претерпело ряд существенных изменений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: рацион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утратил прежнее разнообразие, в нем возросла доля рафинированных продуктов, лишенных пищевых волокон, витаминов и минеральных веществ.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Пища, которую мы едим, играет существенную роль в функционировании 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кишечной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микробиоты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.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Синонимами слова «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микробиота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» являются также «микрофлора», «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микробиоценоз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», «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микробиом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», обозначающие все микроорганизмы и их геномы, присутствующие в организме человека.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Состояние равновесия между микрофлорой кишечника характерно для полного здоровья и поддержания постоянства внутренней среды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макроорганизма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. Представители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микробиоты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 участвуют почти во всех процессах обмена веществ, синтезируют витамины, способствуют распаду холестерина до желчных кислот, защищают от патогенных микроорганизмов, влияют на работу иммунной, эндокринной, </w:t>
      </w:r>
      <w:proofErr w:type="spellStart"/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 и даже центральной нервной системы.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Для восстановления нарушенной микрофлоры кишечника применяются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синбиотики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shd w:val="clear" w:color="auto" w:fill="FFFFFF"/>
          <w:lang w:eastAsia="ru-RU"/>
        </w:rPr>
        <w:t>– 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это живые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непатогенные,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нетоксигенные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 микроорганизмы, поступающие в кишечник человека с пищей, благотворно воздействующие на организм, нормализующие состав и биологическую активность микрофлоры пищеварительного тракта (микроорганизмы родов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Bifidobacterium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Lactobacillus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Propionibacterium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, а также используемые в ассоциациях с ними бактерии рода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Lactococcus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, вида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Streptococcus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shd w:val="clear" w:color="auto" w:fill="FFFFFF"/>
          <w:lang w:eastAsia="ru-RU"/>
        </w:rPr>
        <w:t>thermophilus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).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Термин «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», буквально означает «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pro-bios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» – «за жизнь».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Впервые идея о том, что обитающие в кишечнике че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ловека микроорганизмы играют важную роль в сохране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нии здоровья, была высказана в начале ХХ века выдающимся русским ученым И.И. Мечниковым.</w:t>
      </w:r>
      <w:r w:rsidRPr="005C627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eastAsia="ru-RU"/>
        </w:rPr>
        <w:br/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Естественные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содержатся в кисломолочных продуктах.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Пробиотические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штаммы используют для обогащения кефира, йогуртов, творожков и детских молочных смесей.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Пробиотические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продукты или препараты могут содержать от нескольких миллионов до нескольких миллиардов живых бактерий, каждая из которых способна образовывать новые колонии.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может не колонизировать слизистую кишечника, а проходить транзитом, но при этом за время нахождения в кишечнике он </w:t>
      </w:r>
      <w:proofErr w:type="gram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оказывает положительный клинический эффект</w:t>
      </w:r>
      <w:proofErr w:type="gram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, взаимодействуя с естественной микрофлорой кишечника. Эффекты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являются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штаммоспецифичными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и не носят «общего характера». К примеру,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Lactobacillus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rhamnosus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обладает положительными свойствами в отношении иммунитета, дыхательной системы, пищеварения и профилактики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атопического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дерматита. Эти бактерии используют в функциональных обогащенных продуктах (йогуртах, молочных напитках). Другие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обладают своими полезными свойствами.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«Живые культуры» становятся повседневным и привычным понятием, в том числе и в контексте обогащенных продуктов питания.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Большинство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пробиотических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препаратов желательно хранить в холодильнике при температуре +2…+6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°С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однако для каждого препарата возможна своя специфика хранения, которая подробно описывается в инструкции.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считаются безопасными и хорошо переносятся. Тем не менее,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противопоказаны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пациентам с тяжелым острым панкреатитом 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панкреонекрозом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следует применять с осторожностью у пациентов, получающих цитостатическую или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иммуносупрессивную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терапию.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Не стоит путать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пребиотиками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 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это физиологически функциональный пищевой ингредиент в виде вещества или комплекса веществ, при систематическом употреблении которых обеспечи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вается благоприятное воздействие на организм человека в результате избира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тельной стимуляции роста и/или повышения биологичес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кой активности нормальной микрофлоры кишечника.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В 1995 году </w:t>
      </w:r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Т. </w:t>
      </w:r>
      <w:proofErr w:type="spellStart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Гибсон</w:t>
      </w:r>
      <w:proofErr w:type="spell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(G.</w:t>
      </w:r>
      <w:proofErr w:type="gram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Gibson</w:t>
      </w:r>
      <w:proofErr w:type="spell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и М. </w:t>
      </w:r>
      <w:proofErr w:type="spellStart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Роберфройд</w:t>
      </w:r>
      <w:proofErr w:type="spell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(M. </w:t>
      </w:r>
      <w:proofErr w:type="spellStart"/>
      <w:proofErr w:type="gramStart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Roberfroid</w:t>
      </w:r>
      <w:proofErr w:type="spell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 ввели термин </w:t>
      </w:r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пребиотик</w:t>
      </w:r>
      <w:proofErr w:type="spellEnd"/>
      <w:r w:rsidRPr="005C62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 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для обозначения 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неперевариваемого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пищевого ингредиента, который благотворно влиял на здоровье человека, выборочно стимулируя рост, активность бактерий в толс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softHyphen/>
        <w:t>той кишке.</w:t>
      </w:r>
      <w:proofErr w:type="gramEnd"/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не относятся к лекарственным препаратам, они являются компонентами пищи и стимулируют рост полезных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бифид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лактобактерий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 кишечнике. К ним относятся некоторые полисахариды и органические кислоты.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Характеристика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пребиотиков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:</w:t>
      </w:r>
    </w:p>
    <w:p w:rsidR="005C6279" w:rsidRPr="005C6279" w:rsidRDefault="005C6279" w:rsidP="00A4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 расщепляются и не всасываются в верхних отделах желудочно-кишечного тракта;</w:t>
      </w:r>
    </w:p>
    <w:p w:rsidR="005C6279" w:rsidRPr="005C6279" w:rsidRDefault="005C6279" w:rsidP="005C6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подвергаются гидролизу ферментами микроорганизмов в толстой кишке;</w:t>
      </w:r>
    </w:p>
    <w:p w:rsidR="005C6279" w:rsidRPr="005C6279" w:rsidRDefault="005C6279" w:rsidP="005C6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избирательно стимулируют рост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бифид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и/или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лактобактерий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оказывая положительное влияние на состав кишечной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микробиоты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;</w:t>
      </w:r>
    </w:p>
    <w:p w:rsidR="005C6279" w:rsidRPr="005C6279" w:rsidRDefault="005C6279" w:rsidP="005C6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технологи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softHyphen/>
        <w:t xml:space="preserve">чески 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устойчивы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при производстве пищевых продуктов.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Естественные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содержатся в бананах, яблоках, бобовых, злаковых, чесноке. А на производстве их добавляют в молочные продукты, напитки,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спреды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смеси для детского питания, каши, хлебобулочные изделия, конфеты, шоколад, суповые концентраты, соусы и приправы, а также в мясные продукты.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Самые известные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, используемые в пищевой промышленности 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с доказанным положительным эффектом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: 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фруктаны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 xml:space="preserve">, 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галактаны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лактулоза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.</w:t>
      </w:r>
      <w:proofErr w:type="gramEnd"/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Фруктаны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углеводы, состо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ящие из нескольких молекул фруктозы, и одной молекулы глюкозы. Самым широко используемым в промыш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 xml:space="preserve">ленных условиях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фруктаном-пребиотиком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является </w:t>
      </w:r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инулин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. Инулин содержится в корнях и клубнях, в качестве сырья для получе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ния инулина в промышленности используют цикорий и топинамбур. При полноценном поступлении в организм инулин помогает регулярному освобождению кишечника, что крайне важно не только для поддержания хорошего самочувствия, но и для своевременного выведения из организма токсичных веществ. Инулин влияет на метаболизм липидов, углеводов, регулирует аппетит и способствует снижению риска развития диабета второго типа, ожирения и атеросклероза.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Галактаны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 это углеводы, которые состоят из галактозы и глюкозы. Промышленно </w:t>
      </w:r>
      <w:proofErr w:type="gram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производимые</w:t>
      </w:r>
      <w:proofErr w:type="gram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галактаны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хорошо растворимы в воде, устойчивы к высокой температуре, положительно влияют на консистенцию и вкус пищевых продуктов. Благодаря этому они могут добавляться в различные молочные продукты (сухое и питьевое молоко, мороженое, сыр, кисломолочные напитки), фруктовые соки, детское питание, каши, хлеб, кон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дитерские изделия.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Лактулоза</w:t>
      </w:r>
      <w:proofErr w:type="spellEnd"/>
      <w:r w:rsidRPr="005C6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углевод, состоящий из галактозы и фруктозы,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 xml:space="preserve">является продуктом переработки молока и производится из молочного сахара.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Лактулоза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применяется при производстве кондитерс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ких изделий, напитков, пищевых продуктов для ди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 xml:space="preserve">етического и диабетического питания, БАД в качестве низкокалорийного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подсластителя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с функ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циональными свойствами. Основное направ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 xml:space="preserve">ление применения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лактулозы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как пищевого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пребиотического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компонента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 производство функциональных кисломолочных продуктов.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Лактулоза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снижает содержание холестерина в крови, уменьшая риск атеросклероза; способствует профилактике рахита; обеспечивает противоопухолевую защиту кишечника; стимулирует общий иммунитет организма; способствует сокращению популяции патогенной микрофлоры; предохраняет от аллергических реакций.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Привлекательными для потребителя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делают их технологические свойства: сладость; низкая калорийность (1-2 ккал/г); способность увеличивать вязкость и улучшать кон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систенцию продуктов; сохранять полезные свойства при длительном хранении и заморажи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softHyphen/>
        <w:t>вании.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Связь пр</w:t>
      </w:r>
      <w:proofErr w:type="gramStart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о-</w:t>
      </w:r>
      <w:proofErr w:type="gramEnd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пребиотиков</w:t>
      </w:r>
      <w:proofErr w:type="spellEnd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 xml:space="preserve"> с антибиотиками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Применение антибиотиков в значительной степени разрушает экологию микрофлоры кишечника человека.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Нарушение состава нормальной микрофлоры кишечника является еще одним из механизмов формирования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диарейного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синдрома на фоне приема антибиотиков, вплоть до развития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антибиотикоассоциированной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диареи. Чаще всего заболевание развивается у детей младше 6 лет или пожилых лиц (старше 65 лет). Практически все антибактериальные препараты способны вызывать диарею.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Одним из основных подходов к профилактике диареи является использование пр</w:t>
      </w:r>
      <w:proofErr w:type="gram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о-</w:t>
      </w:r>
      <w:proofErr w:type="gram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подавляют рост патогенных и условно-патогенных микроорганизмов, поддерживают регуляцию иммунной системы желудочно-кишечного 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 xml:space="preserve">тракта, улучшают функцию эпителия кишечника. А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помогают микрофлоре кишечника, стимулируют ее рост и жизнедеятельность, являясь пищей для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Самый частый вопрос, который задают пациенты врачам: можно ли принимать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одновременно с антибиотиками и не будут ли антибактериальные препараты, помимо воздействия на возбудителя инфекционного заболевания, влиять на полезные микроорганизмы, входящие в состав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пробиотика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?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Ответ заключается в понятии </w:t>
      </w:r>
      <w:r w:rsidRPr="005C6279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«</w:t>
      </w:r>
      <w:proofErr w:type="spellStart"/>
      <w:r w:rsidRPr="005C6279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пробиотический</w:t>
      </w:r>
      <w:proofErr w:type="spellEnd"/>
      <w:r w:rsidRPr="005C6279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 xml:space="preserve"> парадокс»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: ж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ивые и погибшие клетки 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в 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пробиотических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продуктах или препаратах могут вызывать полезные биологические реакции. </w:t>
      </w:r>
      <w:r w:rsidRPr="005C6279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shd w:val="clear" w:color="auto" w:fill="FEFEFE"/>
          <w:lang w:eastAsia="ru-RU"/>
        </w:rPr>
        <w:t>Живые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 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пробиотические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клетки влияют как на 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микробиоту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желудочно-кишечного тракта, так и на иммунный ответ, в то время как компоненты </w:t>
      </w:r>
      <w:r w:rsidRPr="005C6279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shd w:val="clear" w:color="auto" w:fill="FEFEFE"/>
          <w:lang w:eastAsia="ru-RU"/>
        </w:rPr>
        <w:t>погибших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 клеток и продукты жизнедеятельности </w:t>
      </w:r>
      <w:proofErr w:type="spellStart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 xml:space="preserve"> являются своеобразными модификаторами биологического ответа и оказывают значимое противовоспалительное действие.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Чтобы получить максимальную пользу и избежать расстройства пищеварения, прием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желательно начинать одновременно </w:t>
      </w:r>
      <w:r w:rsidRPr="005C6279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с момента приема первой дозы антибиотика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Важно также отметить, что при совместном назначении антибиотиков и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интервал между их приемами должен составлять как минимум 2 часа.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Длительность приема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определяется рекомендациями врача и инструкцией к препарату.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 xml:space="preserve">А еще есть </w:t>
      </w:r>
      <w:proofErr w:type="spellStart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синбиотики</w:t>
      </w:r>
      <w:proofErr w:type="spellEnd"/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–</w:t>
      </w:r>
      <w:r w:rsidRPr="005C6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 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физиологически функциональные пищевые ингредиенты, представляющие собой комбинацию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пробиотиков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пребиотиков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, в которой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оказывают взаимно усиливающее воздействие на физиологические функции и процессы обмена веществ в организме человека.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Синбиотики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обычно используются в составе препаратов (БАД) или продуктов, они </w:t>
      </w:r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объединяют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пробиотики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пребиотики</w:t>
      </w:r>
      <w:proofErr w:type="spellEnd"/>
      <w:r w:rsidRPr="005C6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, то есть одновременно поставляют в кишечник полезные бактерии и пищу для них.</w:t>
      </w:r>
    </w:p>
    <w:p w:rsidR="005C6279" w:rsidRPr="005C6279" w:rsidRDefault="005C6279" w:rsidP="00A40710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Синбиотические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продукты способствуют колонизации пищеварительного тракта микроорганизмами (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пробиотиками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) и повышению биологической активности собственной полезной микрофлоры за счет присутствия в составе </w:t>
      </w:r>
      <w:proofErr w:type="spellStart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пребиотиков</w:t>
      </w:r>
      <w:proofErr w:type="spellEnd"/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5C6279" w:rsidRPr="005C6279" w:rsidRDefault="005C6279" w:rsidP="00A407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5C627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Стратегической задачей современной пищевой технологии является создание функционального питания, пищевых продуктов с добавлением (обогащением) дополнительных ингредиентов, помимо традиционной пищевой ценности. Такое питание будет обеспечивать поддержание и активизацию жизненно важных функций человека, повышать сопротивляемость организма агрессивным условиям окружающей среды.</w:t>
      </w:r>
    </w:p>
    <w:p w:rsidR="005C6279" w:rsidRPr="005C6279" w:rsidRDefault="005C6279" w:rsidP="00A407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Библиография</w:t>
      </w:r>
      <w:r w:rsidRPr="005C6279">
        <w:rPr>
          <w:rFonts w:ascii="Arial" w:eastAsia="Times New Roman" w:hAnsi="Arial" w:cs="Arial"/>
          <w:color w:val="263238"/>
          <w:sz w:val="28"/>
          <w:szCs w:val="28"/>
          <w:lang w:eastAsia="ru-RU"/>
        </w:rPr>
        <w:br/>
      </w:r>
    </w:p>
    <w:p w:rsidR="005C6279" w:rsidRPr="005C6279" w:rsidRDefault="005C6279" w:rsidP="00A4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Храмцов А.Г., Рябцева С.А.,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Будкевич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Р.О., Ахмедова В.Р., Родная А.Б.,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Маругина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Е.В.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Пребиотики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как функциональные пищевые ингредиенты: терминология, критерии выбора и сравнительной оценки, классификация // Вопросы питания. 2018; Т. 87, №1: 5-17.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Маркова Ю.М., Шевелёва С.А.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Пробиотики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как функциональные пищевые продукты: производство и подходы к оценке эффективности // Вопросы питания. 2014; Т. 83, № 4: 4-14.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lastRenderedPageBreak/>
        <w:t xml:space="preserve">Усенко Д.В. Влияние антибиотиков и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пробиотиков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на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микробиом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желудочно-кишечного тракта // Медицинский совет. 2016; №16: 98-102.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Андреева И.В., Стецюк О.У., Андреев В.А.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Пробиотики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: 5 вопросов от практикующего врача //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Non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nocere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. Новый терапевтический журнал. 2023;(1</w:t>
      </w: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noBreakHyphen/>
        <w:t>2): 68</w:t>
      </w: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noBreakHyphen/>
        <w:t>75.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 xml:space="preserve">Adams CA.      The     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>probiotic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 xml:space="preserve">          paradox:         live       and      dead   cells     are biological   response           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>modifi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 xml:space="preserve">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>ers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val="en-US" w:eastAsia="ru-RU"/>
        </w:rPr>
        <w:t>.       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Nutr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    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Res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    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Rev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.    2010;23(1):37-46.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Боковская О. А.,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Чикунов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В. В.,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Ильенкова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Н. А. </w:t>
      </w:r>
      <w:proofErr w:type="gram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Нужны</w:t>
      </w:r>
      <w:proofErr w:type="gram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ли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пробиотики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здоровым людям? // Лечащий Врач. 2022; 1 (25): 53-57.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ГОСТ </w:t>
      </w:r>
      <w:proofErr w:type="gram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Р</w:t>
      </w:r>
      <w:proofErr w:type="gram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56201-2014 Продукты пищевые функциональные. Мето</w:t>
      </w: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softHyphen/>
        <w:t xml:space="preserve">ды определения </w:t>
      </w:r>
      <w:proofErr w:type="spell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бифидогенных</w:t>
      </w:r>
      <w:proofErr w:type="spell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свойств // Электронный фонд правовой и нормативно-технической документации.</w:t>
      </w:r>
    </w:p>
    <w:p w:rsidR="005C6279" w:rsidRPr="005C6279" w:rsidRDefault="005C6279" w:rsidP="005C6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ГОСТ </w:t>
      </w:r>
      <w:proofErr w:type="gramStart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Р</w:t>
      </w:r>
      <w:proofErr w:type="gramEnd"/>
      <w:r w:rsidRPr="005C6279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 52349-2005 Продукты пищевые. Продукты пищевые функциональные. Термины и определения // Электронный фонд правовой и нормативно-технической документации.</w:t>
      </w:r>
    </w:p>
    <w:p w:rsidR="00FA3652" w:rsidRDefault="00FA3652"/>
    <w:p w:rsidR="005C6279" w:rsidRDefault="005C6279"/>
    <w:sectPr w:rsidR="005C6279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784"/>
    <w:multiLevelType w:val="multilevel"/>
    <w:tmpl w:val="23FC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074DD"/>
    <w:multiLevelType w:val="multilevel"/>
    <w:tmpl w:val="30A0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79"/>
    <w:rsid w:val="005C6279"/>
    <w:rsid w:val="007959BE"/>
    <w:rsid w:val="00A40710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paragraph" w:styleId="2">
    <w:name w:val="heading 2"/>
    <w:basedOn w:val="a"/>
    <w:link w:val="20"/>
    <w:uiPriority w:val="9"/>
    <w:qFormat/>
    <w:rsid w:val="005C6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5C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0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3F30-2927-4F9A-A883-9A6E88AF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1718</Words>
  <Characters>9797</Characters>
  <Application>Microsoft Office Word</Application>
  <DocSecurity>0</DocSecurity>
  <Lines>81</Lines>
  <Paragraphs>22</Paragraphs>
  <ScaleCrop>false</ScaleCrop>
  <Company>Microsoft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2025-03-11T07:37:00Z</dcterms:created>
  <dcterms:modified xsi:type="dcterms:W3CDTF">2025-03-11T07:45:00Z</dcterms:modified>
</cp:coreProperties>
</file>