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37" w:rsidRDefault="00D67B37">
      <w:pPr>
        <w:ind w:left="180"/>
        <w:jc w:val="both"/>
        <w:rPr>
          <w:sz w:val="22"/>
          <w:szCs w:val="22"/>
        </w:rPr>
      </w:pPr>
    </w:p>
    <w:p w:rsidR="00DD73B1" w:rsidRDefault="00DD73B1">
      <w:pPr>
        <w:ind w:left="180"/>
        <w:jc w:val="both"/>
        <w:rPr>
          <w:b/>
          <w:sz w:val="22"/>
          <w:szCs w:val="22"/>
        </w:rPr>
      </w:pPr>
    </w:p>
    <w:p w:rsidR="00E0786C" w:rsidRPr="00E0786C" w:rsidRDefault="00E0786C" w:rsidP="00E0786C">
      <w:pPr>
        <w:pStyle w:val="a7"/>
        <w:spacing w:before="0" w:after="0" w:line="273" w:lineRule="atLeast"/>
        <w:jc w:val="center"/>
        <w:rPr>
          <w:b/>
          <w:color w:val="000000"/>
        </w:rPr>
      </w:pPr>
      <w:r w:rsidRPr="00E0786C">
        <w:rPr>
          <w:b/>
          <w:bCs/>
          <w:color w:val="000000"/>
          <w:sz w:val="28"/>
          <w:szCs w:val="28"/>
          <w:u w:val="single"/>
          <w:lang w:eastAsia="ru-RU"/>
        </w:rPr>
        <w:t>Обратите внимание!</w:t>
      </w:r>
    </w:p>
    <w:p w:rsidR="00E0786C" w:rsidRP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t>Если заемщик дал согласие на заключение договора страхования, то в случае невыполнения им обязанности по страхованию свыше 30 календарных дней кредитор вправе принять решение об увеличении размера процентной ставки по выданному потребительскому кредиту (займу), если это предусмотрено кредитным договором (в том числе в случае обращения заемщика с заявлением об исключении его из числа застрахованных лиц по договору личного страхования).</w:t>
      </w:r>
    </w:p>
    <w:p w:rsidR="00E0786C" w:rsidRP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t>При нарушении обязанностей по страхованию заложенного имущества кредитор вправе потребовать досрочного погашения кредита, обеспеченного ипотекой. Если это требование заемщик не выполнил в предусмотренный договором срок либо в течение месяца (если указанный срок не предусмотрен договором), залогодержатель вправе обратить взыскание на заложенное имущество.</w:t>
      </w:r>
    </w:p>
    <w:p w:rsidR="00E0786C" w:rsidRDefault="00E0786C" w:rsidP="00E0786C">
      <w:pPr>
        <w:pStyle w:val="a7"/>
        <w:spacing w:before="0" w:after="0" w:line="273" w:lineRule="atLeast"/>
        <w:jc w:val="both"/>
        <w:rPr>
          <w:b/>
          <w:color w:val="000000"/>
        </w:rPr>
      </w:pPr>
    </w:p>
    <w:p w:rsidR="00E0786C" w:rsidRDefault="00E0786C" w:rsidP="00E0786C">
      <w:pPr>
        <w:pStyle w:val="a7"/>
        <w:spacing w:before="0" w:after="0" w:line="273" w:lineRule="atLeast"/>
        <w:jc w:val="both"/>
        <w:rPr>
          <w:b/>
          <w:sz w:val="22"/>
          <w:szCs w:val="22"/>
        </w:rPr>
      </w:pPr>
    </w:p>
    <w:p w:rsidR="00050E37" w:rsidRDefault="00050E37">
      <w:pPr>
        <w:ind w:left="180"/>
        <w:jc w:val="both"/>
        <w:rPr>
          <w:b/>
          <w:sz w:val="22"/>
          <w:szCs w:val="22"/>
        </w:rPr>
      </w:pPr>
    </w:p>
    <w:p w:rsidR="00DD73B1" w:rsidRDefault="00DD73B1" w:rsidP="00050E37">
      <w:pPr>
        <w:jc w:val="both"/>
        <w:rPr>
          <w:sz w:val="22"/>
          <w:szCs w:val="22"/>
        </w:rPr>
      </w:pPr>
    </w:p>
    <w:p w:rsidR="00DD73B1" w:rsidRPr="00766649" w:rsidRDefault="00DD73B1">
      <w:pPr>
        <w:ind w:left="180"/>
        <w:jc w:val="both"/>
        <w:rPr>
          <w:sz w:val="20"/>
          <w:szCs w:val="20"/>
        </w:rPr>
      </w:pPr>
    </w:p>
    <w:p w:rsidR="00B32EE3" w:rsidRPr="00766649" w:rsidRDefault="00B32EE3" w:rsidP="00B32EE3">
      <w:pPr>
        <w:ind w:firstLine="284"/>
        <w:jc w:val="center"/>
        <w:rPr>
          <w:sz w:val="20"/>
          <w:szCs w:val="20"/>
        </w:rPr>
      </w:pPr>
      <w:r w:rsidRPr="00766649">
        <w:rPr>
          <w:sz w:val="20"/>
          <w:szCs w:val="20"/>
        </w:rPr>
        <w:t xml:space="preserve">ГОСУДАРСТВЕННЫЙ  ИНФОРМАЦИОННЫЙ  РЕСУРС  В СФЕРЕ ЗАЩИТЫ ПРАВ ПОТРЕБИТЕЛЕЙ   </w:t>
      </w:r>
      <w:hyperlink r:id="rId5" w:history="1">
        <w:r w:rsidRPr="00766649">
          <w:rPr>
            <w:rStyle w:val="a3"/>
            <w:sz w:val="20"/>
            <w:szCs w:val="20"/>
          </w:rPr>
          <w:t>http://zpp.rospotrebnadzor.ru/</w:t>
        </w:r>
      </w:hyperlink>
    </w:p>
    <w:p w:rsidR="00DD73B1" w:rsidRDefault="00DD73B1">
      <w:pPr>
        <w:ind w:left="180"/>
        <w:jc w:val="both"/>
        <w:rPr>
          <w:sz w:val="22"/>
          <w:szCs w:val="22"/>
        </w:rPr>
      </w:pPr>
    </w:p>
    <w:p w:rsidR="00DD73B1" w:rsidRDefault="00DD73B1">
      <w:pPr>
        <w:ind w:left="180"/>
        <w:jc w:val="both"/>
        <w:rPr>
          <w:sz w:val="22"/>
          <w:szCs w:val="22"/>
        </w:rPr>
      </w:pPr>
    </w:p>
    <w:p w:rsidR="00DD73B1" w:rsidRDefault="00E0786C">
      <w:pPr>
        <w:ind w:left="180"/>
        <w:jc w:val="both"/>
        <w:rPr>
          <w:sz w:val="22"/>
          <w:szCs w:val="22"/>
        </w:rPr>
      </w:pPr>
      <w:r>
        <w:rPr>
          <w:noProof/>
          <w:sz w:val="22"/>
          <w:szCs w:val="22"/>
          <w:lang w:eastAsia="ru-RU"/>
        </w:rPr>
        <w:drawing>
          <wp:inline distT="0" distB="0" distL="0" distR="0">
            <wp:extent cx="2847975" cy="24288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2847975" cy="2428875"/>
                    </a:xfrm>
                    <a:prstGeom prst="rect">
                      <a:avLst/>
                    </a:prstGeom>
                    <a:noFill/>
                    <a:ln w="9525">
                      <a:noFill/>
                      <a:miter lim="800000"/>
                      <a:headEnd/>
                      <a:tailEnd/>
                    </a:ln>
                  </pic:spPr>
                </pic:pic>
              </a:graphicData>
            </a:graphic>
          </wp:inline>
        </w:drawing>
      </w:r>
    </w:p>
    <w:p w:rsidR="00DD73B1" w:rsidRDefault="00DD73B1">
      <w:pPr>
        <w:ind w:left="180"/>
        <w:jc w:val="both"/>
        <w:rPr>
          <w:sz w:val="22"/>
          <w:szCs w:val="22"/>
        </w:rPr>
      </w:pPr>
    </w:p>
    <w:p w:rsidR="00766649" w:rsidRPr="00766649" w:rsidRDefault="00766649" w:rsidP="00766649">
      <w:pPr>
        <w:jc w:val="center"/>
        <w:rPr>
          <w:b/>
          <w:sz w:val="22"/>
          <w:szCs w:val="22"/>
        </w:rPr>
      </w:pPr>
      <w:r>
        <w:rPr>
          <w:b/>
          <w:sz w:val="22"/>
          <w:szCs w:val="22"/>
        </w:rPr>
        <w:t>Н</w:t>
      </w:r>
      <w:r w:rsidRPr="00766649">
        <w:rPr>
          <w:b/>
          <w:sz w:val="22"/>
          <w:szCs w:val="22"/>
        </w:rPr>
        <w:t>а данном портале размещено:</w:t>
      </w:r>
    </w:p>
    <w:p w:rsidR="00766649" w:rsidRPr="00766649" w:rsidRDefault="00766649" w:rsidP="00766649">
      <w:pPr>
        <w:numPr>
          <w:ilvl w:val="0"/>
          <w:numId w:val="6"/>
        </w:numPr>
        <w:ind w:left="0" w:firstLine="0"/>
        <w:jc w:val="both"/>
        <w:rPr>
          <w:sz w:val="22"/>
          <w:szCs w:val="22"/>
        </w:rPr>
      </w:pPr>
      <w:r w:rsidRPr="00766649">
        <w:rPr>
          <w:sz w:val="22"/>
          <w:szCs w:val="22"/>
        </w:rPr>
        <w:t>нормативная правовая база в сфере защите прав потребителей;</w:t>
      </w:r>
    </w:p>
    <w:p w:rsidR="00766649" w:rsidRPr="00766649" w:rsidRDefault="00766649" w:rsidP="00766649">
      <w:pPr>
        <w:numPr>
          <w:ilvl w:val="0"/>
          <w:numId w:val="6"/>
        </w:numPr>
        <w:ind w:left="0" w:firstLine="0"/>
        <w:jc w:val="both"/>
        <w:rPr>
          <w:sz w:val="22"/>
          <w:szCs w:val="22"/>
        </w:rPr>
      </w:pPr>
      <w:r w:rsidRPr="00766649">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766649" w:rsidRPr="00766649" w:rsidRDefault="00766649" w:rsidP="00766649">
      <w:pPr>
        <w:numPr>
          <w:ilvl w:val="0"/>
          <w:numId w:val="6"/>
        </w:numPr>
        <w:ind w:left="0" w:firstLine="0"/>
        <w:jc w:val="both"/>
        <w:rPr>
          <w:sz w:val="22"/>
          <w:szCs w:val="22"/>
        </w:rPr>
      </w:pPr>
      <w:r w:rsidRPr="00766649">
        <w:rPr>
          <w:sz w:val="22"/>
          <w:szCs w:val="22"/>
        </w:rPr>
        <w:t>результаты проверок,</w:t>
      </w:r>
    </w:p>
    <w:p w:rsidR="00766649" w:rsidRPr="00766649" w:rsidRDefault="00766649" w:rsidP="00766649">
      <w:pPr>
        <w:numPr>
          <w:ilvl w:val="0"/>
          <w:numId w:val="6"/>
        </w:numPr>
        <w:ind w:left="0" w:firstLine="0"/>
        <w:jc w:val="both"/>
        <w:rPr>
          <w:sz w:val="22"/>
          <w:szCs w:val="22"/>
        </w:rPr>
      </w:pPr>
      <w:r w:rsidRPr="00766649">
        <w:rPr>
          <w:sz w:val="22"/>
          <w:szCs w:val="22"/>
        </w:rPr>
        <w:t>решения судов по делам в сфере защиты прав потребителей;</w:t>
      </w:r>
    </w:p>
    <w:p w:rsidR="00766649" w:rsidRPr="00766649" w:rsidRDefault="00766649" w:rsidP="00766649">
      <w:pPr>
        <w:numPr>
          <w:ilvl w:val="0"/>
          <w:numId w:val="6"/>
        </w:numPr>
        <w:ind w:left="0" w:firstLine="0"/>
        <w:jc w:val="both"/>
        <w:rPr>
          <w:sz w:val="22"/>
          <w:szCs w:val="22"/>
        </w:rPr>
      </w:pPr>
      <w:r w:rsidRPr="00766649">
        <w:rPr>
          <w:sz w:val="22"/>
          <w:szCs w:val="22"/>
        </w:rPr>
        <w:t>новости в сфере защиты прав потребителей;</w:t>
      </w:r>
    </w:p>
    <w:p w:rsidR="00766649" w:rsidRPr="00766649" w:rsidRDefault="00766649" w:rsidP="00766649">
      <w:pPr>
        <w:numPr>
          <w:ilvl w:val="0"/>
          <w:numId w:val="6"/>
        </w:numPr>
        <w:ind w:left="0" w:firstLine="0"/>
        <w:jc w:val="both"/>
        <w:rPr>
          <w:sz w:val="22"/>
          <w:szCs w:val="22"/>
        </w:rPr>
      </w:pPr>
      <w:r w:rsidRPr="00766649">
        <w:rPr>
          <w:sz w:val="22"/>
          <w:szCs w:val="22"/>
        </w:rPr>
        <w:t>тематические памятки по защите прав потребителей и обучающие видеоролики;</w:t>
      </w:r>
    </w:p>
    <w:p w:rsidR="00766649" w:rsidRPr="00766649" w:rsidRDefault="00766649" w:rsidP="00766649">
      <w:pPr>
        <w:numPr>
          <w:ilvl w:val="0"/>
          <w:numId w:val="6"/>
        </w:numPr>
        <w:ind w:left="0" w:firstLine="0"/>
        <w:jc w:val="both"/>
        <w:rPr>
          <w:sz w:val="22"/>
          <w:szCs w:val="22"/>
        </w:rPr>
      </w:pPr>
      <w:r w:rsidRPr="00766649">
        <w:rPr>
          <w:sz w:val="22"/>
          <w:szCs w:val="22"/>
        </w:rPr>
        <w:t xml:space="preserve">образцы претензий и исковых заявлений; </w:t>
      </w:r>
    </w:p>
    <w:p w:rsidR="00766649" w:rsidRPr="00766649" w:rsidRDefault="00766649" w:rsidP="00766649">
      <w:pPr>
        <w:numPr>
          <w:ilvl w:val="0"/>
          <w:numId w:val="6"/>
        </w:numPr>
        <w:ind w:left="0" w:firstLine="0"/>
        <w:jc w:val="both"/>
        <w:rPr>
          <w:sz w:val="22"/>
          <w:szCs w:val="22"/>
        </w:rPr>
      </w:pPr>
      <w:r w:rsidRPr="00766649">
        <w:rPr>
          <w:sz w:val="22"/>
          <w:szCs w:val="22"/>
        </w:rPr>
        <w:t>ВИРТУАЛЬНАЯ ПРИЕМНАЯ, где можно задать интересующий вопрос;</w:t>
      </w:r>
    </w:p>
    <w:p w:rsidR="00766649" w:rsidRPr="00766649" w:rsidRDefault="00766649" w:rsidP="00766649">
      <w:pPr>
        <w:numPr>
          <w:ilvl w:val="0"/>
          <w:numId w:val="6"/>
        </w:numPr>
        <w:ind w:left="0" w:firstLine="0"/>
        <w:jc w:val="both"/>
        <w:rPr>
          <w:sz w:val="22"/>
          <w:szCs w:val="22"/>
        </w:rPr>
      </w:pPr>
      <w:r w:rsidRPr="00766649">
        <w:rPr>
          <w:sz w:val="22"/>
          <w:szCs w:val="22"/>
        </w:rPr>
        <w:t>ВЕРСИЯ ДЛЯ СЛАБОВИДЯЩИХ.</w:t>
      </w:r>
    </w:p>
    <w:p w:rsidR="00DD73B1" w:rsidRDefault="00DD73B1">
      <w:pPr>
        <w:ind w:left="180"/>
        <w:jc w:val="both"/>
        <w:rPr>
          <w:sz w:val="22"/>
          <w:szCs w:val="22"/>
        </w:rPr>
      </w:pPr>
    </w:p>
    <w:p w:rsidR="00DD73B1" w:rsidRDefault="00DD73B1">
      <w:pPr>
        <w:ind w:left="180"/>
        <w:jc w:val="both"/>
        <w:rPr>
          <w:sz w:val="22"/>
          <w:szCs w:val="22"/>
        </w:rPr>
      </w:pPr>
    </w:p>
    <w:p w:rsidR="00DD73B1" w:rsidRDefault="00DD73B1">
      <w:pPr>
        <w:ind w:left="180"/>
        <w:jc w:val="both"/>
        <w:rPr>
          <w:sz w:val="22"/>
          <w:szCs w:val="22"/>
        </w:rPr>
      </w:pPr>
    </w:p>
    <w:p w:rsidR="00DD73B1" w:rsidRDefault="00DD73B1">
      <w:pPr>
        <w:ind w:left="180"/>
        <w:jc w:val="both"/>
        <w:rPr>
          <w:sz w:val="22"/>
          <w:szCs w:val="22"/>
        </w:rPr>
      </w:pPr>
    </w:p>
    <w:p w:rsidR="00DD73B1" w:rsidRDefault="00DD73B1">
      <w:pPr>
        <w:ind w:left="180"/>
        <w:jc w:val="both"/>
        <w:rPr>
          <w:sz w:val="22"/>
          <w:szCs w:val="22"/>
        </w:rPr>
      </w:pPr>
    </w:p>
    <w:p w:rsidR="00DD73B1" w:rsidRDefault="00DD73B1" w:rsidP="00050E37">
      <w:pPr>
        <w:jc w:val="both"/>
        <w:rPr>
          <w:sz w:val="22"/>
          <w:szCs w:val="22"/>
        </w:rPr>
      </w:pPr>
    </w:p>
    <w:p w:rsidR="00626A86" w:rsidRDefault="00E0786C" w:rsidP="00626A86">
      <w:pPr>
        <w:jc w:val="center"/>
        <w:rPr>
          <w:b/>
          <w:sz w:val="20"/>
          <w:szCs w:val="20"/>
        </w:rPr>
      </w:pPr>
      <w:r>
        <w:rPr>
          <w:b/>
          <w:noProof/>
          <w:sz w:val="20"/>
          <w:szCs w:val="20"/>
          <w:lang w:eastAsia="ru-RU"/>
        </w:rPr>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626A86" w:rsidRDefault="00340FA6" w:rsidP="00626A86">
      <w:pPr>
        <w:jc w:val="center"/>
        <w:rPr>
          <w:b/>
        </w:rPr>
      </w:pPr>
      <w:r>
        <w:rPr>
          <w:b/>
        </w:rPr>
        <w:t>Консультационный Центр</w:t>
      </w:r>
    </w:p>
    <w:p w:rsidR="00626A86" w:rsidRDefault="00626A86" w:rsidP="00626A86">
      <w:pPr>
        <w:jc w:val="center"/>
        <w:rPr>
          <w:b/>
        </w:rPr>
      </w:pPr>
      <w:r>
        <w:rPr>
          <w:b/>
        </w:rPr>
        <w:t>ФБУЗ «Центр гигиены и эпидемиологии в РС (Я)»</w:t>
      </w:r>
    </w:p>
    <w:p w:rsidR="00626A86" w:rsidRDefault="00626A86" w:rsidP="00626A86">
      <w:pPr>
        <w:ind w:left="180"/>
      </w:pPr>
    </w:p>
    <w:p w:rsidR="00626A86" w:rsidRDefault="00626A86" w:rsidP="00626A86">
      <w:pPr>
        <w:ind w:left="180"/>
      </w:pPr>
    </w:p>
    <w:p w:rsidR="002823B0" w:rsidRDefault="002823B0" w:rsidP="00626A86">
      <w:pPr>
        <w:ind w:left="180"/>
      </w:pPr>
    </w:p>
    <w:p w:rsidR="002823B0" w:rsidRDefault="002823B0" w:rsidP="00626A86">
      <w:pPr>
        <w:ind w:left="180"/>
      </w:pPr>
    </w:p>
    <w:p w:rsidR="002823B0" w:rsidRDefault="002823B0" w:rsidP="00626A86">
      <w:pPr>
        <w:ind w:left="180"/>
      </w:pPr>
    </w:p>
    <w:p w:rsidR="002823B0" w:rsidRDefault="00E0786C" w:rsidP="00626A86">
      <w:pPr>
        <w:ind w:left="180"/>
      </w:pPr>
      <w:r>
        <w:rPr>
          <w:noProof/>
          <w:lang w:eastAsia="ru-RU"/>
        </w:rPr>
        <w:drawing>
          <wp:inline distT="0" distB="0" distL="0" distR="0">
            <wp:extent cx="2905125" cy="2019300"/>
            <wp:effectExtent l="19050" t="0" r="9525" b="0"/>
            <wp:docPr id="6" name="Рисунок 6" descr="https://avatars.dzeninfra.ru/get-zen_doc/271828/pub_65b7be35a69dd87333fe120f_65b7bf3384fef031deb00e1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dzeninfra.ru/get-zen_doc/271828/pub_65b7be35a69dd87333fe120f_65b7bf3384fef031deb00e1a/scale_1200"/>
                    <pic:cNvPicPr>
                      <a:picLocks noChangeAspect="1" noChangeArrowheads="1"/>
                    </pic:cNvPicPr>
                  </pic:nvPicPr>
                  <pic:blipFill>
                    <a:blip r:embed="rId8" cstate="print"/>
                    <a:srcRect/>
                    <a:stretch>
                      <a:fillRect/>
                    </a:stretch>
                  </pic:blipFill>
                  <pic:spPr bwMode="auto">
                    <a:xfrm>
                      <a:off x="0" y="0"/>
                      <a:ext cx="2905125" cy="2019300"/>
                    </a:xfrm>
                    <a:prstGeom prst="rect">
                      <a:avLst/>
                    </a:prstGeom>
                    <a:noFill/>
                    <a:ln w="9525">
                      <a:noFill/>
                      <a:miter lim="800000"/>
                      <a:headEnd/>
                      <a:tailEnd/>
                    </a:ln>
                  </pic:spPr>
                </pic:pic>
              </a:graphicData>
            </a:graphic>
          </wp:inline>
        </w:drawing>
      </w:r>
    </w:p>
    <w:p w:rsidR="002823B0" w:rsidRDefault="002823B0" w:rsidP="00626A86">
      <w:pPr>
        <w:ind w:left="180"/>
      </w:pPr>
    </w:p>
    <w:p w:rsidR="002823B0" w:rsidRDefault="002823B0" w:rsidP="00626A86">
      <w:pPr>
        <w:ind w:left="180"/>
      </w:pPr>
    </w:p>
    <w:p w:rsidR="00626A86" w:rsidRDefault="00626A86" w:rsidP="00626A86">
      <w:pPr>
        <w:ind w:left="180"/>
        <w:rPr>
          <w:b/>
          <w:sz w:val="20"/>
          <w:szCs w:val="20"/>
        </w:rPr>
      </w:pPr>
    </w:p>
    <w:p w:rsidR="00E0786C" w:rsidRPr="00E0786C" w:rsidRDefault="00626A86" w:rsidP="00E0786C">
      <w:pPr>
        <w:pStyle w:val="1"/>
        <w:shd w:val="clear" w:color="auto" w:fill="F8F8F8"/>
        <w:spacing w:before="0" w:beforeAutospacing="0" w:after="0" w:afterAutospacing="0"/>
        <w:jc w:val="center"/>
        <w:rPr>
          <w:color w:val="000000" w:themeColor="text1"/>
          <w:sz w:val="28"/>
          <w:szCs w:val="28"/>
        </w:rPr>
      </w:pPr>
      <w:r w:rsidRPr="00E0786C">
        <w:rPr>
          <w:color w:val="000000" w:themeColor="text1"/>
          <w:sz w:val="28"/>
          <w:szCs w:val="28"/>
        </w:rPr>
        <w:t>Памятка потребителю</w:t>
      </w:r>
      <w:r w:rsidR="00F04A5C" w:rsidRPr="00E0786C">
        <w:rPr>
          <w:color w:val="000000" w:themeColor="text1"/>
          <w:sz w:val="28"/>
          <w:szCs w:val="28"/>
        </w:rPr>
        <w:t xml:space="preserve"> </w:t>
      </w:r>
      <w:r w:rsidR="00E0786C" w:rsidRPr="00E0786C">
        <w:rPr>
          <w:color w:val="000000" w:themeColor="text1"/>
          <w:sz w:val="28"/>
          <w:szCs w:val="28"/>
        </w:rPr>
        <w:t>об увеличении периода охлаждения при заключении договоров добровольного страхования</w:t>
      </w:r>
    </w:p>
    <w:p w:rsidR="00626A86" w:rsidRPr="00E95763" w:rsidRDefault="00626A86" w:rsidP="00626A86">
      <w:pPr>
        <w:ind w:left="180"/>
        <w:jc w:val="center"/>
        <w:rPr>
          <w:b/>
          <w:sz w:val="32"/>
          <w:szCs w:val="32"/>
        </w:rPr>
      </w:pPr>
    </w:p>
    <w:p w:rsidR="00626A86" w:rsidRDefault="00626A86" w:rsidP="00626A86">
      <w:pPr>
        <w:ind w:left="180"/>
        <w:rPr>
          <w:b/>
          <w:sz w:val="20"/>
          <w:szCs w:val="20"/>
        </w:rPr>
      </w:pPr>
    </w:p>
    <w:p w:rsidR="00626A86" w:rsidRDefault="00626A86" w:rsidP="00626A86">
      <w:pPr>
        <w:ind w:left="180"/>
        <w:rPr>
          <w:b/>
          <w:sz w:val="20"/>
          <w:szCs w:val="20"/>
        </w:rPr>
      </w:pPr>
    </w:p>
    <w:p w:rsidR="00626A86" w:rsidRDefault="00626A86" w:rsidP="00626A86">
      <w:pPr>
        <w:ind w:left="180"/>
        <w:rPr>
          <w:b/>
          <w:sz w:val="20"/>
          <w:szCs w:val="20"/>
        </w:rPr>
      </w:pPr>
    </w:p>
    <w:p w:rsidR="00626A86" w:rsidRDefault="00626A86" w:rsidP="00626A86">
      <w:pPr>
        <w:ind w:left="180"/>
        <w:rPr>
          <w:b/>
          <w:sz w:val="20"/>
          <w:szCs w:val="20"/>
        </w:rPr>
      </w:pPr>
    </w:p>
    <w:p w:rsidR="007262CF" w:rsidRPr="00E0786C" w:rsidRDefault="00626A86" w:rsidP="00E0786C">
      <w:pPr>
        <w:ind w:left="180"/>
        <w:rPr>
          <w:b/>
          <w:sz w:val="20"/>
          <w:szCs w:val="20"/>
        </w:rPr>
      </w:pPr>
      <w:r>
        <w:rPr>
          <w:b/>
          <w:sz w:val="20"/>
          <w:szCs w:val="20"/>
        </w:rPr>
        <w:t xml:space="preserve"> </w:t>
      </w:r>
    </w:p>
    <w:p w:rsidR="005C2092" w:rsidRDefault="00626A86" w:rsidP="00980AB3">
      <w:pPr>
        <w:ind w:left="180"/>
        <w:jc w:val="center"/>
        <w:rPr>
          <w:b/>
        </w:rPr>
      </w:pPr>
      <w:r>
        <w:rPr>
          <w:b/>
        </w:rPr>
        <w:t>г.</w:t>
      </w:r>
      <w:r w:rsidR="00B32EE3">
        <w:rPr>
          <w:b/>
        </w:rPr>
        <w:t xml:space="preserve"> </w:t>
      </w:r>
      <w:r>
        <w:rPr>
          <w:b/>
        </w:rPr>
        <w:t xml:space="preserve">Якутск </w:t>
      </w:r>
    </w:p>
    <w:p w:rsidR="00050E37" w:rsidRDefault="00050E37" w:rsidP="002823B0">
      <w:pPr>
        <w:pStyle w:val="a7"/>
        <w:spacing w:before="0" w:after="0" w:line="273" w:lineRule="atLeast"/>
        <w:jc w:val="both"/>
        <w:rPr>
          <w:color w:val="000000"/>
          <w:sz w:val="20"/>
          <w:szCs w:val="20"/>
        </w:rPr>
      </w:pPr>
    </w:p>
    <w:p w:rsidR="00E0786C" w:rsidRP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rPr>
        <w:lastRenderedPageBreak/>
        <w:t xml:space="preserve">    </w:t>
      </w:r>
      <w:r w:rsidRPr="00E0786C">
        <w:rPr>
          <w:color w:val="000000"/>
          <w:lang w:eastAsia="ru-RU"/>
        </w:rPr>
        <w:t>С 21 января 2024 года вступил в силу Федеральный закон от 24 июля 2023 г. № 359-ФЗ «О внесении изменений в Федеральный закон «О потребительском кредите (займе)» и отдельные законодательные акты Российской Федерации» в части увеличения срока возможности отказа от договора добровольного страхования (периода охлаждения) с 14 до 30 дней.</w:t>
      </w:r>
    </w:p>
    <w:p w:rsidR="00E0786C" w:rsidRP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t>В целях выполнения Указания Банка России от 5 октября 2021 г. № 5968-У, страховщик обязан доводить до сведения страхователя в табличной форме информацию о его праве отказаться от договора добровольного страхования с возвратом страховой премии в срок, определённый периодом охлаждения, указав при этом продолжительность такого периода.</w:t>
      </w:r>
    </w:p>
    <w:p w:rsid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t xml:space="preserve">Заемщик ‒  застрахованное лицо по договору личного страхования, заключенному в целях обеспечения исполнения его обязательств по договору потребительского кредита (займа), вправе обратиться в период охлаждения с заявлением об исключении его из числа застрахованных лиц по такому договору. В этом случае ему должны </w:t>
      </w:r>
    </w:p>
    <w:p w:rsidR="00E0786C" w:rsidRDefault="00E0786C" w:rsidP="00E0786C">
      <w:pPr>
        <w:shd w:val="clear" w:color="auto" w:fill="FFFFFF" w:themeFill="background1"/>
        <w:suppressAutoHyphens w:val="0"/>
        <w:spacing w:before="100" w:beforeAutospacing="1" w:after="100" w:afterAutospacing="1"/>
        <w:jc w:val="both"/>
        <w:rPr>
          <w:color w:val="000000"/>
          <w:lang w:eastAsia="ru-RU"/>
        </w:rPr>
      </w:pPr>
    </w:p>
    <w:p w:rsidR="00E0786C" w:rsidRP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lastRenderedPageBreak/>
        <w:t>вернуть денежные средства, уплаченные им за оказание соответствующей дополнительной услуги (включая страховую премию) при отсутствии событий, имеющих признаки страхового случая.</w:t>
      </w:r>
    </w:p>
    <w:p w:rsidR="00E0786C" w:rsidRP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t>Также в случае отказа заемщика от договора добровольного страхования, заключенного им в качестве страхователя для обеспечения исполнения его обязательств по кредитному договору, страховщик обязан возвратить ему уплаченную страховую премию в полном объеме. Это возможно в случае обращения заемщика в течение периода охлаждения и при отсутствии событий, имеющих признаки страхового случая.</w:t>
      </w:r>
    </w:p>
    <w:p w:rsid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t xml:space="preserve">Если обязательства заемщика по потребительскому кредиту (займу) обеспечены ипотекой, он должен застраховать заложенное имущество. При неисполнении им этой обязанности кредитор вправе застраховать такое имущество самостоятельно и потребовать от заемщика возмещения понесенных расходов. Кроме того, заемщик вправе застраховать риск своей ответственности перед кредитором за неисполнение или ненадлежащее </w:t>
      </w:r>
    </w:p>
    <w:p w:rsidR="00E0786C" w:rsidRDefault="00E0786C" w:rsidP="00E0786C">
      <w:pPr>
        <w:shd w:val="clear" w:color="auto" w:fill="FFFFFF" w:themeFill="background1"/>
        <w:suppressAutoHyphens w:val="0"/>
        <w:spacing w:before="100" w:beforeAutospacing="1" w:after="100" w:afterAutospacing="1"/>
        <w:jc w:val="both"/>
        <w:rPr>
          <w:color w:val="000000"/>
          <w:lang w:eastAsia="ru-RU"/>
        </w:rPr>
      </w:pPr>
    </w:p>
    <w:p w:rsidR="00E0786C" w:rsidRP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lastRenderedPageBreak/>
        <w:t>исполнение им своих обязательств перед ним.</w:t>
      </w:r>
    </w:p>
    <w:p w:rsidR="00E0786C" w:rsidRPr="00E0786C" w:rsidRDefault="00E0786C" w:rsidP="00E0786C">
      <w:pPr>
        <w:shd w:val="clear" w:color="auto" w:fill="FFFFFF" w:themeFill="background1"/>
        <w:suppressAutoHyphens w:val="0"/>
        <w:spacing w:before="100" w:beforeAutospacing="1" w:after="100" w:afterAutospacing="1"/>
        <w:jc w:val="both"/>
        <w:rPr>
          <w:color w:val="000000"/>
          <w:lang w:eastAsia="ru-RU"/>
        </w:rPr>
      </w:pPr>
      <w:r w:rsidRPr="00E0786C">
        <w:rPr>
          <w:color w:val="000000"/>
          <w:lang w:eastAsia="ru-RU"/>
        </w:rPr>
        <w:t>В отношении указанных видов договоров страхования, заключенных в рамках ипотечного кредитования, не действует правило о возврате заемщику страховой премии в полном объеме в случае его отказа от договора добровольного страхования.</w:t>
      </w:r>
    </w:p>
    <w:p w:rsidR="00E0786C" w:rsidRPr="00E0786C" w:rsidRDefault="00E0786C" w:rsidP="00E0786C">
      <w:pPr>
        <w:shd w:val="clear" w:color="auto" w:fill="FFFFFF" w:themeFill="background1"/>
        <w:suppressAutoHyphens w:val="0"/>
        <w:spacing w:before="100" w:beforeAutospacing="1" w:after="100" w:afterAutospacing="1"/>
        <w:jc w:val="both"/>
        <w:rPr>
          <w:color w:val="000000"/>
          <w:sz w:val="24"/>
          <w:szCs w:val="24"/>
          <w:lang w:eastAsia="ru-RU"/>
        </w:rPr>
      </w:pPr>
    </w:p>
    <w:p w:rsidR="00050E37" w:rsidRPr="00E0786C" w:rsidRDefault="00050E37" w:rsidP="00E0786C">
      <w:pPr>
        <w:pStyle w:val="a7"/>
        <w:shd w:val="clear" w:color="auto" w:fill="FFFFFF" w:themeFill="background1"/>
        <w:spacing w:before="0" w:after="0" w:line="273" w:lineRule="atLeast"/>
        <w:jc w:val="both"/>
        <w:rPr>
          <w:color w:val="000000"/>
        </w:rPr>
      </w:pPr>
    </w:p>
    <w:p w:rsidR="00050E37" w:rsidRPr="00E0786C" w:rsidRDefault="00050E37" w:rsidP="00E0786C">
      <w:pPr>
        <w:pStyle w:val="a7"/>
        <w:shd w:val="clear" w:color="auto" w:fill="FFFFFF" w:themeFill="background1"/>
        <w:spacing w:before="0" w:after="0" w:line="273" w:lineRule="atLeast"/>
        <w:jc w:val="both"/>
        <w:rPr>
          <w:color w:val="000000"/>
        </w:rPr>
      </w:pPr>
    </w:p>
    <w:p w:rsidR="00050E37" w:rsidRPr="00E0786C" w:rsidRDefault="00050E37" w:rsidP="00E0786C">
      <w:pPr>
        <w:pStyle w:val="a7"/>
        <w:shd w:val="clear" w:color="auto" w:fill="FFFFFF" w:themeFill="background1"/>
        <w:spacing w:before="0" w:after="0" w:line="273" w:lineRule="atLeast"/>
        <w:jc w:val="both"/>
        <w:rPr>
          <w:color w:val="000000"/>
        </w:rPr>
      </w:pPr>
    </w:p>
    <w:p w:rsidR="00D3392A" w:rsidRPr="00E0786C" w:rsidRDefault="00E0786C" w:rsidP="00E0786C">
      <w:pPr>
        <w:shd w:val="clear" w:color="auto" w:fill="FFFFFF" w:themeFill="background1"/>
        <w:jc w:val="both"/>
        <w:rPr>
          <w:sz w:val="24"/>
          <w:szCs w:val="24"/>
        </w:rPr>
      </w:pPr>
      <w:r>
        <w:rPr>
          <w:noProof/>
          <w:lang w:eastAsia="ru-RU"/>
        </w:rPr>
        <w:drawing>
          <wp:inline distT="0" distB="0" distL="0" distR="0">
            <wp:extent cx="2962275" cy="2505075"/>
            <wp:effectExtent l="19050" t="0" r="9525" b="0"/>
            <wp:docPr id="15" name="Рисунок 15" descr="https://gidpostrahovke.ru/wp-content/uploads/2019/11/period-ohlajdenija-v-strahova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idpostrahovke.ru/wp-content/uploads/2019/11/period-ohlajdenija-v-strahovanii.jpg"/>
                    <pic:cNvPicPr>
                      <a:picLocks noChangeAspect="1" noChangeArrowheads="1"/>
                    </pic:cNvPicPr>
                  </pic:nvPicPr>
                  <pic:blipFill>
                    <a:blip r:embed="rId9" cstate="print"/>
                    <a:srcRect/>
                    <a:stretch>
                      <a:fillRect/>
                    </a:stretch>
                  </pic:blipFill>
                  <pic:spPr bwMode="auto">
                    <a:xfrm>
                      <a:off x="0" y="0"/>
                      <a:ext cx="2962275" cy="2505075"/>
                    </a:xfrm>
                    <a:prstGeom prst="rect">
                      <a:avLst/>
                    </a:prstGeom>
                    <a:noFill/>
                    <a:ln w="9525">
                      <a:noFill/>
                      <a:miter lim="800000"/>
                      <a:headEnd/>
                      <a:tailEnd/>
                    </a:ln>
                  </pic:spPr>
                </pic:pic>
              </a:graphicData>
            </a:graphic>
          </wp:inline>
        </w:drawing>
      </w:r>
    </w:p>
    <w:p w:rsidR="00D3392A" w:rsidRPr="00E0786C" w:rsidRDefault="00D3392A" w:rsidP="00E0786C">
      <w:pPr>
        <w:pStyle w:val="a7"/>
        <w:shd w:val="clear" w:color="auto" w:fill="FFFFFF" w:themeFill="background1"/>
        <w:spacing w:line="273" w:lineRule="atLeast"/>
        <w:jc w:val="both"/>
        <w:rPr>
          <w:color w:val="00000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p w:rsidR="00A4064B" w:rsidRPr="00D3392A" w:rsidRDefault="00A4064B" w:rsidP="00D3392A">
      <w:pPr>
        <w:ind w:left="180"/>
        <w:jc w:val="both"/>
        <w:rPr>
          <w:sz w:val="20"/>
          <w:szCs w:val="20"/>
        </w:rPr>
      </w:pPr>
    </w:p>
    <w:sectPr w:rsidR="00A4064B" w:rsidRPr="00D3392A" w:rsidSect="00B32EE3">
      <w:pgSz w:w="16838" w:h="11906" w:orient="landscape"/>
      <w:pgMar w:top="142" w:right="678" w:bottom="46" w:left="720" w:header="720" w:footer="720" w:gutter="0"/>
      <w:cols w:num="3" w:space="708" w:equalWidth="0">
        <w:col w:w="4500" w:space="896"/>
        <w:col w:w="4688" w:space="708"/>
        <w:col w:w="4648"/>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07F9F"/>
    <w:rsid w:val="00042E8F"/>
    <w:rsid w:val="00050E37"/>
    <w:rsid w:val="0006667F"/>
    <w:rsid w:val="00073EFD"/>
    <w:rsid w:val="000961A9"/>
    <w:rsid w:val="00097C7A"/>
    <w:rsid w:val="000D2803"/>
    <w:rsid w:val="000E74CB"/>
    <w:rsid w:val="00134159"/>
    <w:rsid w:val="00136542"/>
    <w:rsid w:val="001445DD"/>
    <w:rsid w:val="00185DF4"/>
    <w:rsid w:val="001A0EC4"/>
    <w:rsid w:val="001A1C79"/>
    <w:rsid w:val="001C77D8"/>
    <w:rsid w:val="001F2199"/>
    <w:rsid w:val="001F49E8"/>
    <w:rsid w:val="00202D49"/>
    <w:rsid w:val="00276F9C"/>
    <w:rsid w:val="002823B0"/>
    <w:rsid w:val="002A787D"/>
    <w:rsid w:val="002E478F"/>
    <w:rsid w:val="002F17BD"/>
    <w:rsid w:val="00316ADC"/>
    <w:rsid w:val="00340461"/>
    <w:rsid w:val="00340FA6"/>
    <w:rsid w:val="00343662"/>
    <w:rsid w:val="00374DDA"/>
    <w:rsid w:val="003A1285"/>
    <w:rsid w:val="003A2F25"/>
    <w:rsid w:val="003E43B3"/>
    <w:rsid w:val="003F4C5A"/>
    <w:rsid w:val="00457070"/>
    <w:rsid w:val="00496BF9"/>
    <w:rsid w:val="004E7A17"/>
    <w:rsid w:val="004F0CDE"/>
    <w:rsid w:val="004F0D44"/>
    <w:rsid w:val="005000C9"/>
    <w:rsid w:val="00525850"/>
    <w:rsid w:val="00551991"/>
    <w:rsid w:val="005C2092"/>
    <w:rsid w:val="005D1918"/>
    <w:rsid w:val="005E6FE0"/>
    <w:rsid w:val="00626A86"/>
    <w:rsid w:val="00633EC7"/>
    <w:rsid w:val="00695B16"/>
    <w:rsid w:val="006A6785"/>
    <w:rsid w:val="006B154A"/>
    <w:rsid w:val="006E77E1"/>
    <w:rsid w:val="007232E1"/>
    <w:rsid w:val="007262CF"/>
    <w:rsid w:val="00766649"/>
    <w:rsid w:val="0081370E"/>
    <w:rsid w:val="008166B5"/>
    <w:rsid w:val="008C0C31"/>
    <w:rsid w:val="008F30E6"/>
    <w:rsid w:val="00906051"/>
    <w:rsid w:val="00907F9F"/>
    <w:rsid w:val="00964A54"/>
    <w:rsid w:val="00980AB3"/>
    <w:rsid w:val="009C36D8"/>
    <w:rsid w:val="009D27AD"/>
    <w:rsid w:val="00A1792F"/>
    <w:rsid w:val="00A4064B"/>
    <w:rsid w:val="00A76470"/>
    <w:rsid w:val="00AB4B0A"/>
    <w:rsid w:val="00B32EE3"/>
    <w:rsid w:val="00B9686B"/>
    <w:rsid w:val="00BB4567"/>
    <w:rsid w:val="00BC694F"/>
    <w:rsid w:val="00C16954"/>
    <w:rsid w:val="00C35110"/>
    <w:rsid w:val="00C5542F"/>
    <w:rsid w:val="00D32D9E"/>
    <w:rsid w:val="00D3392A"/>
    <w:rsid w:val="00D346F4"/>
    <w:rsid w:val="00D420AF"/>
    <w:rsid w:val="00D67B37"/>
    <w:rsid w:val="00DC399E"/>
    <w:rsid w:val="00DD73B1"/>
    <w:rsid w:val="00E01A7E"/>
    <w:rsid w:val="00E0786C"/>
    <w:rsid w:val="00EA25DF"/>
    <w:rsid w:val="00ED63D4"/>
    <w:rsid w:val="00F015DF"/>
    <w:rsid w:val="00F04A5C"/>
    <w:rsid w:val="00F9226B"/>
    <w:rsid w:val="00F97B0C"/>
    <w:rsid w:val="00FD6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E0786C"/>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E0786C"/>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1386179022">
      <w:bodyDiv w:val="1"/>
      <w:marLeft w:val="0"/>
      <w:marRight w:val="0"/>
      <w:marTop w:val="0"/>
      <w:marBottom w:val="0"/>
      <w:divBdr>
        <w:top w:val="none" w:sz="0" w:space="0" w:color="auto"/>
        <w:left w:val="none" w:sz="0" w:space="0" w:color="auto"/>
        <w:bottom w:val="none" w:sz="0" w:space="0" w:color="auto"/>
        <w:right w:val="none" w:sz="0" w:space="0" w:color="auto"/>
      </w:divBdr>
    </w:div>
    <w:div w:id="1476945319">
      <w:bodyDiv w:val="1"/>
      <w:marLeft w:val="0"/>
      <w:marRight w:val="0"/>
      <w:marTop w:val="0"/>
      <w:marBottom w:val="0"/>
      <w:divBdr>
        <w:top w:val="none" w:sz="0" w:space="0" w:color="auto"/>
        <w:left w:val="none" w:sz="0" w:space="0" w:color="auto"/>
        <w:bottom w:val="none" w:sz="0" w:space="0" w:color="auto"/>
        <w:right w:val="none" w:sz="0" w:space="0" w:color="auto"/>
      </w:divBdr>
    </w:div>
    <w:div w:id="1861777255">
      <w:bodyDiv w:val="1"/>
      <w:marLeft w:val="0"/>
      <w:marRight w:val="0"/>
      <w:marTop w:val="0"/>
      <w:marBottom w:val="0"/>
      <w:divBdr>
        <w:top w:val="none" w:sz="0" w:space="0" w:color="auto"/>
        <w:left w:val="none" w:sz="0" w:space="0" w:color="auto"/>
        <w:bottom w:val="none" w:sz="0" w:space="0" w:color="auto"/>
        <w:right w:val="none" w:sz="0" w:space="0" w:color="auto"/>
      </w:divBdr>
    </w:div>
    <w:div w:id="19667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zpp.rospotrebnadzo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4004</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2</cp:revision>
  <cp:lastPrinted>2018-08-14T02:37:00Z</cp:lastPrinted>
  <dcterms:created xsi:type="dcterms:W3CDTF">2024-02-01T06:24:00Z</dcterms:created>
  <dcterms:modified xsi:type="dcterms:W3CDTF">2024-02-01T06:24:00Z</dcterms:modified>
</cp:coreProperties>
</file>