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8C" w:rsidRPr="00C06B8C" w:rsidRDefault="00C06B8C" w:rsidP="00C06B8C">
      <w:pPr>
        <w:shd w:val="clear" w:color="auto" w:fill="FFFFFF"/>
        <w:spacing w:after="153" w:line="8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9"/>
          <w:szCs w:val="69"/>
          <w:lang w:eastAsia="ru-RU"/>
        </w:rPr>
      </w:pPr>
      <w:r w:rsidRPr="00C06B8C">
        <w:rPr>
          <w:rFonts w:ascii="Times New Roman" w:eastAsia="Times New Roman" w:hAnsi="Times New Roman" w:cs="Times New Roman"/>
          <w:b/>
          <w:bCs/>
          <w:caps/>
          <w:color w:val="263238"/>
          <w:sz w:val="69"/>
          <w:szCs w:val="69"/>
          <w:lang w:eastAsia="ru-RU"/>
        </w:rPr>
        <w:t>ПИТАНИЕ ДЛЯ ЗДОРОВЬЯ ПЕЧЕНИ</w:t>
      </w:r>
    </w:p>
    <w:p w:rsidR="00C06B8C" w:rsidRPr="00C06B8C" w:rsidRDefault="00C06B8C" w:rsidP="00C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6061" cy="3060000"/>
            <wp:effectExtent l="19050" t="0" r="1289" b="0"/>
            <wp:docPr id="1" name="Рисунок 1" descr="Питание для здоровья печ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для здоровья пече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61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8C" w:rsidRPr="00C06B8C" w:rsidRDefault="00C06B8C" w:rsidP="00C0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Гепатит, цирроз и другие заболевания 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печени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к сожалению не теряют актуальность. Если некоторые из них (например, гепатит А) имеют обычно благоприятное течение и не переходят в хроническую форму, то гепатиты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В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и С, несмотря на современные возможности в диагностике и лечении, приводят к хроническому поражению печени, циррозу и раку. В случае наличия какого-либо заболевания печени, специалисты обычно назначают лечебное (диетическое) питание. Лечебное питание является важнейшим элементом комплексной терапии.</w:t>
      </w:r>
    </w:p>
    <w:p w:rsidR="00C06B8C" w:rsidRPr="00C06B8C" w:rsidRDefault="00C06B8C" w:rsidP="00C06B8C">
      <w:pPr>
        <w:spacing w:before="306"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В ХХ веке единственной страной, где на государственном уровне занимались здоровым питанием, был СССР, а в 1930 году был создан Институт питания. Основоположники отечественной диетотерапии </w:t>
      </w:r>
      <w:proofErr w:type="spell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Мануил</w:t>
      </w:r>
      <w:proofErr w:type="spell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Исаакович Певзнер и Осип Львович Гордон писали, что необходимо не только достаточно питать больного, не только поддерживать его силы, но следует стремиться с помощью питания активно воздействовать на течение патологического процесса. В этом заключается основная задача науки о лечебном питании - диететики.</w:t>
      </w:r>
    </w:p>
    <w:p w:rsidR="00C06B8C" w:rsidRPr="00C06B8C" w:rsidRDefault="00C06B8C" w:rsidP="00C0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Лечебное питание при заболевании органов пищеварения и болезнях обмена веществ 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выполняет роль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одного из основных терапевтических факторов, создает благоприятный фон для более эффективного проведения прочих терапевтических мероприятий.</w:t>
      </w:r>
    </w:p>
    <w:p w:rsidR="00C06B8C" w:rsidRPr="00C06B8C" w:rsidRDefault="00C06B8C" w:rsidP="00C0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Диеты отличаются степенью </w:t>
      </w:r>
      <w:proofErr w:type="spell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щажения</w:t>
      </w:r>
      <w:proofErr w:type="spell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, способами приготовления блюд и поэтому назначаются в разные периоды заболеваний. В период обострений назначается охранительно-щадящий режим, который включает госпитализацию, постельный или строгий постельный режим (при угрозе печеночной энцефалопатии) и диетическое питание.</w:t>
      </w:r>
    </w:p>
    <w:p w:rsidR="00C06B8C" w:rsidRPr="00C06B8C" w:rsidRDefault="00C06B8C" w:rsidP="00C06B8C">
      <w:pPr>
        <w:spacing w:before="306"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При всех острых гепатитах в лечебном учреждении назначают вариант стандартной диеты с 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механическим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и химическим </w:t>
      </w:r>
      <w:proofErr w:type="spell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щажением</w:t>
      </w:r>
      <w:proofErr w:type="spell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(ЩД).</w:t>
      </w:r>
    </w:p>
    <w:p w:rsidR="00C06B8C" w:rsidRPr="00C06B8C" w:rsidRDefault="00C06B8C" w:rsidP="00C0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lastRenderedPageBreak/>
        <w:t>Ранее в стационарах применялись «</w:t>
      </w:r>
      <w:proofErr w:type="spellStart"/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диет-столы</w:t>
      </w:r>
      <w:proofErr w:type="spellEnd"/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по Певзнеру», однако сегодня лечебное питание регулируется новым Приказом Министерства здравоохранения РФ от 23 сентября 2020 г. N 1008н «Об утверждении порядка обеспечения пациентов лечебным питанием», где представлены 6 типов питания. В домашних условиях, для поддержания здоровья печени и достижения стойкой ремиссии специалисты рекомендуют придерживаться нескольких классических правил:</w:t>
      </w:r>
    </w:p>
    <w:p w:rsidR="00C06B8C" w:rsidRPr="00C06B8C" w:rsidRDefault="00C06B8C" w:rsidP="00C06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Используют щадящие технологии приготовления: блюда готовят 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отварными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, запеченными.</w:t>
      </w:r>
    </w:p>
    <w:p w:rsidR="00C06B8C" w:rsidRPr="00C06B8C" w:rsidRDefault="00C06B8C" w:rsidP="00C06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Специальных ограничений по поваренной соли в данном случае нет.</w:t>
      </w:r>
    </w:p>
    <w:p w:rsidR="00C06B8C" w:rsidRPr="00C06B8C" w:rsidRDefault="00C06B8C" w:rsidP="00C06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Температура готовой пищи теплая.</w:t>
      </w:r>
    </w:p>
    <w:p w:rsidR="00C06B8C" w:rsidRPr="00C06B8C" w:rsidRDefault="00C06B8C" w:rsidP="00C06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Принимать пищу при заболеваниях печени следует не реже четырех раз в сутки, лучше 5–6 раз.</w:t>
      </w:r>
    </w:p>
    <w:p w:rsidR="00C06B8C" w:rsidRPr="00C06B8C" w:rsidRDefault="00C06B8C" w:rsidP="00C0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Рекомендуются: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Хлеб вчерашней выпечки или подсушенный, печенье из </w:t>
      </w:r>
      <w:proofErr w:type="spell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несдобного</w:t>
      </w:r>
      <w:proofErr w:type="spell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теста.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Различные супы из овощей, круп, макаронных изделий на овощном отваре или молочные, фруктовые супы.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Блюда из нежирной говядины и птицы в отварном виде или запеченные после отваривания, куском или рубленые. Сосиски молочные.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Различные нежирные сорта рыбы (треска, судак, навага, щука, сазан, серебристый хек) в отварном или паровом виде.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Различные виды овощей и зелени, некислая квашеная капуста, консервированный зеленый горошек, спелые томаты.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Рассыпчатые </w:t>
      </w:r>
      <w:proofErr w:type="spell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полувязкие</w:t>
      </w:r>
      <w:proofErr w:type="spell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каши, пудинги, запеканки, особенно рекомендуются блюда из овсянки, гречневой каши.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Яйца – не более одного в день в виде добавления в блюда, белковый омлет.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Фрукты и ягоды (кроме очень кислых), фруктовые консервы, компоты, кисели, лимон (с чаем), сахар, варенье, мед.</w:t>
      </w:r>
      <w:proofErr w:type="gramEnd"/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Молоко с чаем, сгущенное, сухое, творог обезжиренный, сметана в небольшом количестве, сыры неострые (голландский и др.). Особенно рекомендуются творог и творожные изделия.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Жиры – масло сливочное, растительное масло (до 50 г в день).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Закуски – вымоченная сельдь, паюсная икра, салаты и винегреты, заливная рыба.</w:t>
      </w:r>
    </w:p>
    <w:p w:rsidR="00C06B8C" w:rsidRPr="00C06B8C" w:rsidRDefault="00C06B8C" w:rsidP="00C06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Напитки – чай и некрепкий кофе с молоком, некислые фруктово-ягодные соки, томатный сок, отвар шиповника.</w:t>
      </w:r>
    </w:p>
    <w:p w:rsidR="00C06B8C" w:rsidRPr="00C06B8C" w:rsidRDefault="00C06B8C" w:rsidP="00C0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Запрещаются все алкогольные напитки, свежие хлебобулочные изделия, изделия из сдобного теста (торты, блины, оладьи, жареные пирожки и т.д.). 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Также супы на мясных, рыбных, грибных бульонах, жирные сорта мяса, гуси, утки, жирные сорта рыбы (севрюга, осетрина, белуга, сом).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Следует воздержаться от бобовых, грибов, шпината, щавеля, редиса, редьки, зеленого лука, маринованных овощей, консервов, копченостей, икры.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</w:t>
      </w:r>
      <w:proofErr w:type="gram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Из рациона исключают мороженое, изделия с кремом, шоколад, горчицу, перец, хрен, черный кофе, какао, холодные напитки.</w:t>
      </w:r>
      <w:proofErr w:type="gram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Не используют кулинарные жиры, сало, кислые фрукты и ягоды, исключают яйца, сваренные вкрутую или жареные.</w:t>
      </w:r>
    </w:p>
    <w:p w:rsidR="00C06B8C" w:rsidRPr="00C06B8C" w:rsidRDefault="00C06B8C" w:rsidP="00C0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Диетотерапия заболеваний печени является постоянно действующим и безопасным методом лечения и профилактики. Подбирая определенный состав рациона в зависимости от потребностей пациента и особенностей заболевания, и назначая продукты, имеющие высокое биологическое и лечебное действие, можно достичь стабилизации процесса, предупредить развитие </w:t>
      </w:r>
      <w:proofErr w:type="spellStart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стеатоза</w:t>
      </w:r>
      <w:proofErr w:type="spellEnd"/>
      <w:r w:rsidRPr="00C06B8C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, гепатитов, в начальных стадиях - цирроза печени. Берегите свою печень и будьте здоровы!</w:t>
      </w:r>
    </w:p>
    <w:p w:rsidR="00FA3652" w:rsidRPr="00C06B8C" w:rsidRDefault="00FA3652" w:rsidP="00C06B8C">
      <w:pPr>
        <w:spacing w:after="0" w:line="240" w:lineRule="auto"/>
        <w:rPr>
          <w:sz w:val="24"/>
          <w:szCs w:val="24"/>
        </w:rPr>
      </w:pPr>
    </w:p>
    <w:sectPr w:rsidR="00FA3652" w:rsidRPr="00C06B8C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178"/>
    <w:multiLevelType w:val="multilevel"/>
    <w:tmpl w:val="21B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80FC0"/>
    <w:multiLevelType w:val="multilevel"/>
    <w:tmpl w:val="FC1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6B8C"/>
    <w:rsid w:val="00477A23"/>
    <w:rsid w:val="00C06B8C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2">
    <w:name w:val="heading 2"/>
    <w:basedOn w:val="a"/>
    <w:link w:val="20"/>
    <w:uiPriority w:val="9"/>
    <w:qFormat/>
    <w:rsid w:val="00C06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C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2023-09-01T06:32:00Z</dcterms:created>
  <dcterms:modified xsi:type="dcterms:W3CDTF">2023-09-01T06:34:00Z</dcterms:modified>
</cp:coreProperties>
</file>