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10" w:rsidRDefault="00E37D10" w:rsidP="000A4783">
      <w:pPr>
        <w:rPr>
          <w:color w:val="000000"/>
          <w:sz w:val="24"/>
          <w:szCs w:val="24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82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Федерации, в частности, это табачная продукция, оружие и другие товары.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5. Вы вправе вернуть товар надлежащего качества.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Законом РФ «О защите прав потребителей» от 07.02.1992г. № 2300-1 закреплено безусловное право потребителя на отказ от товара, приобретенного дистанционным способом.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righ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Исключение составляет индивидуально – определённые товары. </w:t>
      </w: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BA3DE9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  <w:r w:rsidRPr="00BA3DE9">
        <w:rPr>
          <w:color w:val="0D0D0D" w:themeColor="text1" w:themeTint="F2"/>
          <w:sz w:val="24"/>
          <w:szCs w:val="24"/>
          <w:lang w:eastAsia="ru-RU"/>
        </w:rPr>
        <w:t xml:space="preserve"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</w:t>
      </w:r>
      <w:proofErr w:type="gramStart"/>
      <w:r w:rsidRPr="00BA3DE9">
        <w:rPr>
          <w:color w:val="0D0D0D" w:themeColor="text1" w:themeTint="F2"/>
          <w:sz w:val="24"/>
          <w:szCs w:val="24"/>
          <w:lang w:eastAsia="ru-RU"/>
        </w:rPr>
        <w:t>с даты предъявления</w:t>
      </w:r>
      <w:proofErr w:type="gramEnd"/>
      <w:r w:rsidRPr="00BA3DE9">
        <w:rPr>
          <w:color w:val="0D0D0D" w:themeColor="text1" w:themeTint="F2"/>
          <w:sz w:val="24"/>
          <w:szCs w:val="24"/>
          <w:lang w:eastAsia="ru-RU"/>
        </w:rPr>
        <w:t xml:space="preserve"> покупателем соответствующего требования.</w:t>
      </w:r>
    </w:p>
    <w:p w:rsidR="00E53141" w:rsidRPr="00BA3DE9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60" w:lineRule="exact"/>
        <w:ind w:right="142" w:firstLine="284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b/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b/>
          <w:color w:val="0D0D0D" w:themeColor="text1" w:themeTint="F2"/>
          <w:sz w:val="24"/>
          <w:szCs w:val="24"/>
          <w:lang w:eastAsia="ru-RU"/>
        </w:rPr>
        <w:t xml:space="preserve">6. При выявлении в товаре недостатка, Вы вправе обратиться с претензией к продавцу. </w:t>
      </w: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  <w:r w:rsidRPr="00BA3DE9">
        <w:rPr>
          <w:iCs/>
          <w:color w:val="0D0D0D" w:themeColor="text1" w:themeTint="F2"/>
          <w:sz w:val="24"/>
          <w:szCs w:val="24"/>
          <w:lang w:eastAsia="ru-RU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  <w:bookmarkStart w:id="0" w:name="Par0"/>
      <w:bookmarkEnd w:id="0"/>
      <w:r w:rsidRPr="00BA3DE9">
        <w:rPr>
          <w:color w:val="0D0D0D" w:themeColor="text1" w:themeTint="F2"/>
          <w:sz w:val="24"/>
          <w:szCs w:val="24"/>
          <w:lang w:eastAsia="ru-RU"/>
        </w:rPr>
        <w:t xml:space="preserve">Покупатель вправе предъявить требования к продавцу в отношении недостатков </w:t>
      </w:r>
      <w:r w:rsidRPr="00BA3DE9">
        <w:rPr>
          <w:color w:val="0D0D0D" w:themeColor="text1" w:themeTint="F2"/>
          <w:sz w:val="24"/>
          <w:szCs w:val="24"/>
          <w:lang w:eastAsia="ru-RU"/>
        </w:rPr>
        <w:lastRenderedPageBreak/>
        <w:t>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E53141" w:rsidRPr="00BA3DE9" w:rsidRDefault="00E53141" w:rsidP="00E53141">
      <w:pPr>
        <w:ind w:left="142" w:right="140" w:firstLine="425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40" w:lineRule="exact"/>
        <w:ind w:left="142" w:firstLine="425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  <w:r w:rsidRPr="00BA3DE9">
        <w:rPr>
          <w:color w:val="0D0D0D" w:themeColor="text1" w:themeTint="F2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E53141" w:rsidRPr="00BA3DE9" w:rsidRDefault="00E53141" w:rsidP="00E53141">
      <w:pPr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60" w:lineRule="exact"/>
        <w:rPr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60" w:lineRule="exact"/>
        <w:rPr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ind w:left="142"/>
        <w:jc w:val="center"/>
        <w:rPr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b/>
          <w:color w:val="0D0D0D" w:themeColor="text1" w:themeTint="F2"/>
          <w:sz w:val="24"/>
          <w:szCs w:val="24"/>
          <w:lang w:eastAsia="ru-RU"/>
        </w:rPr>
        <w:t>Куда обращаться за защитой прав потребителя?</w:t>
      </w:r>
    </w:p>
    <w:p w:rsidR="00E53141" w:rsidRPr="00BA3DE9" w:rsidRDefault="00E53141" w:rsidP="00E53141">
      <w:pPr>
        <w:ind w:left="142"/>
        <w:jc w:val="center"/>
        <w:rPr>
          <w:b/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40" w:lineRule="exact"/>
        <w:ind w:right="142"/>
        <w:rPr>
          <w:color w:val="0D0D0D" w:themeColor="text1" w:themeTint="F2"/>
          <w:sz w:val="24"/>
          <w:szCs w:val="24"/>
          <w:lang w:eastAsia="ru-RU"/>
        </w:rPr>
      </w:pPr>
    </w:p>
    <w:p w:rsidR="00E53141" w:rsidRPr="006D12DF" w:rsidRDefault="00E53141" w:rsidP="00E53141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142" w:right="140" w:firstLine="284"/>
        <w:contextualSpacing/>
        <w:jc w:val="both"/>
        <w:rPr>
          <w:sz w:val="26"/>
          <w:szCs w:val="26"/>
        </w:rPr>
      </w:pPr>
      <w:r w:rsidRPr="006D12DF">
        <w:rPr>
          <w:color w:val="0D0D0D" w:themeColor="text1" w:themeTint="F2"/>
          <w:sz w:val="24"/>
          <w:szCs w:val="24"/>
          <w:lang w:eastAsia="ru-RU"/>
        </w:rPr>
        <w:t xml:space="preserve">Вы вправе обратиться к </w:t>
      </w:r>
      <w:r>
        <w:rPr>
          <w:color w:val="0D0D0D" w:themeColor="text1" w:themeTint="F2"/>
          <w:sz w:val="24"/>
          <w:szCs w:val="24"/>
          <w:lang w:eastAsia="ru-RU"/>
        </w:rPr>
        <w:t>продавцу (исполнителю)</w:t>
      </w:r>
      <w:r w:rsidRPr="006D12DF">
        <w:rPr>
          <w:color w:val="0D0D0D" w:themeColor="text1" w:themeTint="F2"/>
          <w:sz w:val="24"/>
          <w:szCs w:val="24"/>
          <w:lang w:eastAsia="ru-RU"/>
        </w:rPr>
        <w:t xml:space="preserve"> с претензией о восстановлении нарушенных правах потребителя в добровольном порядке, а в случае отказа от удовлетворения Ваших требований -  с иском в суд. </w:t>
      </w:r>
    </w:p>
    <w:p w:rsidR="00E53141" w:rsidRPr="006D12DF" w:rsidRDefault="00E53141" w:rsidP="00E53141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142" w:right="140" w:firstLine="284"/>
        <w:contextualSpacing/>
        <w:jc w:val="both"/>
        <w:rPr>
          <w:sz w:val="26"/>
          <w:szCs w:val="26"/>
        </w:rPr>
      </w:pPr>
      <w:r w:rsidRPr="006D12DF">
        <w:rPr>
          <w:color w:val="0D0D0D" w:themeColor="text1" w:themeTint="F2"/>
          <w:sz w:val="24"/>
          <w:szCs w:val="24"/>
          <w:lang w:eastAsia="ru-RU"/>
        </w:rPr>
        <w:t xml:space="preserve">Для розыска неизвестного лица, нарушившего Ваши права потребителя в социальной сети, необходимо обращаться в органы полиции. </w:t>
      </w:r>
    </w:p>
    <w:p w:rsidR="00E53141" w:rsidRPr="006D12DF" w:rsidRDefault="00E53141" w:rsidP="00E53141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142" w:right="140" w:firstLine="284"/>
        <w:contextualSpacing/>
        <w:jc w:val="both"/>
        <w:rPr>
          <w:sz w:val="26"/>
          <w:szCs w:val="26"/>
        </w:rPr>
      </w:pPr>
      <w:r w:rsidRPr="006D12DF">
        <w:rPr>
          <w:color w:val="0D0D0D" w:themeColor="text1" w:themeTint="F2"/>
          <w:sz w:val="24"/>
          <w:szCs w:val="24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0A4783">
      <w:pPr>
        <w:rPr>
          <w:color w:val="000000"/>
          <w:sz w:val="24"/>
          <w:szCs w:val="24"/>
          <w:lang w:eastAsia="ru-RU"/>
        </w:rPr>
      </w:pPr>
    </w:p>
    <w:p w:rsidR="00E53141" w:rsidRDefault="00E53141" w:rsidP="000A4783">
      <w:pPr>
        <w:rPr>
          <w:color w:val="000000"/>
          <w:sz w:val="24"/>
          <w:szCs w:val="24"/>
          <w:lang w:eastAsia="ru-RU"/>
        </w:rPr>
      </w:pPr>
    </w:p>
    <w:p w:rsidR="00E37D10" w:rsidRDefault="00E37D10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86" w:rsidRDefault="00626A86" w:rsidP="00626A86">
      <w:pPr>
        <w:jc w:val="center"/>
        <w:rPr>
          <w:b/>
        </w:rPr>
      </w:pP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Pr="00370D72" w:rsidRDefault="00370D72" w:rsidP="000A4783">
      <w:pPr>
        <w:rPr>
          <w:b/>
        </w:rPr>
      </w:pPr>
      <w:r w:rsidRPr="00370D72">
        <w:rPr>
          <w:b/>
        </w:rPr>
        <w:t>Отдел защиты прав потребителей</w:t>
      </w:r>
    </w:p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</w:p>
    <w:p w:rsidR="00D751F5" w:rsidRDefault="008454E3" w:rsidP="000A478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1" descr="https://cdn-edge.kwork.ru/pics/t3/03/4163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edge.kwork.ru/pics/t3/03/41630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E3" w:rsidRDefault="008454E3" w:rsidP="000A4783">
      <w:pPr>
        <w:rPr>
          <w:noProof/>
          <w:lang w:eastAsia="ru-RU"/>
        </w:rPr>
      </w:pPr>
    </w:p>
    <w:p w:rsidR="008454E3" w:rsidRDefault="008454E3" w:rsidP="000A4783">
      <w:pPr>
        <w:rPr>
          <w:noProof/>
          <w:lang w:eastAsia="ru-RU"/>
        </w:rPr>
      </w:pPr>
    </w:p>
    <w:p w:rsidR="007262CF" w:rsidRPr="008454E3" w:rsidRDefault="007262CF" w:rsidP="00D751F5">
      <w:pPr>
        <w:rPr>
          <w:b/>
          <w:color w:val="002060"/>
          <w:sz w:val="20"/>
          <w:szCs w:val="20"/>
        </w:rPr>
      </w:pPr>
    </w:p>
    <w:p w:rsidR="008454E3" w:rsidRPr="008454E3" w:rsidRDefault="008454E3" w:rsidP="008454E3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54E3">
        <w:rPr>
          <w:rFonts w:ascii="Times New Roman" w:hAnsi="Times New Roman" w:cs="Times New Roman"/>
          <w:b/>
          <w:color w:val="002060"/>
          <w:sz w:val="28"/>
          <w:szCs w:val="28"/>
        </w:rPr>
        <w:t>Памятка потребителю</w:t>
      </w:r>
    </w:p>
    <w:p w:rsidR="008454E3" w:rsidRPr="008454E3" w:rsidRDefault="008454E3" w:rsidP="008454E3">
      <w:pPr>
        <w:tabs>
          <w:tab w:val="num" w:pos="0"/>
          <w:tab w:val="left" w:pos="4680"/>
        </w:tabs>
        <w:autoSpaceDE w:val="0"/>
        <w:autoSpaceDN w:val="0"/>
        <w:adjustRightInd w:val="0"/>
        <w:ind w:firstLine="425"/>
        <w:jc w:val="center"/>
        <w:rPr>
          <w:b/>
          <w:color w:val="002060"/>
          <w:lang w:eastAsia="ru-RU"/>
        </w:rPr>
      </w:pPr>
      <w:r w:rsidRPr="008454E3">
        <w:rPr>
          <w:b/>
          <w:color w:val="002060"/>
          <w:lang w:eastAsia="ru-RU"/>
        </w:rPr>
        <w:t>На что обратить внимание при покупке товаров, работ, услуг через социальные сети?</w:t>
      </w:r>
    </w:p>
    <w:p w:rsidR="001806E0" w:rsidRPr="008454E3" w:rsidRDefault="001806E0" w:rsidP="00D751F5">
      <w:pPr>
        <w:rPr>
          <w:b/>
          <w:color w:val="002060"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E37D10" w:rsidRDefault="00E37D10" w:rsidP="00E37D10">
      <w:pPr>
        <w:rPr>
          <w:b/>
        </w:rPr>
      </w:pPr>
    </w:p>
    <w:p w:rsidR="00370D72" w:rsidRDefault="00370D72" w:rsidP="00E37D10">
      <w:pPr>
        <w:rPr>
          <w:b/>
        </w:rPr>
      </w:pPr>
    </w:p>
    <w:p w:rsidR="00E53141" w:rsidRPr="00E53141" w:rsidRDefault="00E53141" w:rsidP="00E53141">
      <w:pPr>
        <w:ind w:left="142" w:firstLine="567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lastRenderedPageBreak/>
        <w:t xml:space="preserve">Социальная сеть (сокр. </w:t>
      </w:r>
      <w:proofErr w:type="spellStart"/>
      <w:r w:rsidRPr="00E53141">
        <w:rPr>
          <w:b/>
          <w:color w:val="0D0D0D" w:themeColor="text1" w:themeTint="F2"/>
          <w:sz w:val="22"/>
          <w:szCs w:val="22"/>
          <w:lang w:eastAsia="ru-RU"/>
        </w:rPr>
        <w:t>соцсеть</w:t>
      </w:r>
      <w:proofErr w:type="spellEnd"/>
      <w:r w:rsidRPr="00E53141">
        <w:rPr>
          <w:b/>
          <w:color w:val="0D0D0D" w:themeColor="text1" w:themeTint="F2"/>
          <w:sz w:val="22"/>
          <w:szCs w:val="22"/>
          <w:lang w:eastAsia="ru-RU"/>
        </w:rPr>
        <w:t>) — это ресурс (</w:t>
      </w:r>
      <w:proofErr w:type="spellStart"/>
      <w:r w:rsidRPr="00E53141">
        <w:rPr>
          <w:b/>
          <w:color w:val="0D0D0D" w:themeColor="text1" w:themeTint="F2"/>
          <w:sz w:val="22"/>
          <w:szCs w:val="22"/>
          <w:lang w:eastAsia="ru-RU"/>
        </w:rPr>
        <w:t>онлайн-сервис</w:t>
      </w:r>
      <w:proofErr w:type="spellEnd"/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), предназначенный для обеспечения взаимодействия между людьми, объединения в группы по интересам и другое. </w:t>
      </w:r>
      <w:r w:rsidRPr="00E53141">
        <w:rPr>
          <w:color w:val="0D0D0D" w:themeColor="text1" w:themeTint="F2"/>
          <w:sz w:val="22"/>
          <w:szCs w:val="22"/>
          <w:lang w:eastAsia="ru-RU"/>
        </w:rPr>
        <w:t>Все чаще социальные сети используются как площадки для торговли различными товарами, работами, услугами.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/>
        <w:jc w:val="center"/>
        <w:rPr>
          <w:b/>
          <w:noProof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iCs/>
          <w:color w:val="0D0D0D" w:themeColor="text1" w:themeTint="F2"/>
          <w:sz w:val="22"/>
          <w:szCs w:val="22"/>
          <w:lang w:eastAsia="ru-RU"/>
        </w:rPr>
        <w:t>На что обратить внимание при покупке товаров в социальных сетях?</w:t>
      </w:r>
      <w:r w:rsidRPr="00E53141">
        <w:rPr>
          <w:b/>
          <w:noProof/>
          <w:color w:val="0D0D0D" w:themeColor="text1" w:themeTint="F2"/>
          <w:sz w:val="22"/>
          <w:szCs w:val="22"/>
          <w:lang w:eastAsia="ru-RU"/>
        </w:rPr>
        <w:t xml:space="preserve">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1</w:t>
      </w:r>
      <w:r w:rsidRPr="00E53141">
        <w:rPr>
          <w:color w:val="0D0D0D" w:themeColor="text1" w:themeTint="F2"/>
          <w:sz w:val="22"/>
          <w:szCs w:val="22"/>
          <w:lang w:eastAsia="ru-RU"/>
        </w:rPr>
        <w:t xml:space="preserve">. </w:t>
      </w:r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Уточняйте информацию о продавце товара, исполнителе услуг (работ), его месте нахождения, полном фирменном наименовании.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left="142" w:firstLine="142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left="142" w:firstLine="142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Важно понимать, является ли продавец зарегистрированным субъектом предпринимательской деятельности или осуществляет деятельность без регистрации.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1. По общим правилам Гражданского кодекса РФ лица, осуществляющие предпринимательскую деятельность, т.е. систематически извлекающие прибыль от реализации товаров, оказании услуг, выполнении работ должны быть зарегистрированы в этом качестве в установленном законом порядке.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Аналогичные требования предъявляются Законом РФ «О защите прав потребителей» от 07.02.1992 г. № 2300-1. Продавцом товаров или исполнителем услуг (работ) может быть организация независимо от ее организационно-правовой формы, а также индивидуальный предприниматель.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2. Однако</w:t>
      </w:r>
      <w:proofErr w:type="gramStart"/>
      <w:r w:rsidRPr="00E53141">
        <w:rPr>
          <w:color w:val="0D0D0D" w:themeColor="text1" w:themeTint="F2"/>
          <w:sz w:val="22"/>
          <w:szCs w:val="22"/>
          <w:lang w:eastAsia="ru-RU"/>
        </w:rPr>
        <w:t>,</w:t>
      </w:r>
      <w:proofErr w:type="gram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 в</w:t>
      </w:r>
      <w:r w:rsidRPr="00E53141">
        <w:rPr>
          <w:sz w:val="22"/>
          <w:szCs w:val="22"/>
        </w:rPr>
        <w:t xml:space="preserve">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Речь идет о «</w:t>
      </w:r>
      <w:proofErr w:type="spellStart"/>
      <w:r w:rsidRPr="00E53141">
        <w:rPr>
          <w:sz w:val="22"/>
          <w:szCs w:val="22"/>
        </w:rPr>
        <w:t>самозанятых</w:t>
      </w:r>
      <w:proofErr w:type="spellEnd"/>
      <w:r w:rsidRPr="00E53141">
        <w:rPr>
          <w:sz w:val="22"/>
          <w:szCs w:val="22"/>
        </w:rPr>
        <w:t xml:space="preserve"> гражданах» (Федеральный закон от 27.11.2018 № 422-ФЗ </w:t>
      </w:r>
      <w:r w:rsidRPr="00E53141">
        <w:rPr>
          <w:sz w:val="22"/>
          <w:szCs w:val="22"/>
        </w:rPr>
        <w:lastRenderedPageBreak/>
        <w:t xml:space="preserve">«О проведении эксперимента по установлению специального налогового режима «Налог на профессиональный доход»).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i/>
          <w:sz w:val="22"/>
          <w:szCs w:val="22"/>
          <w:u w:val="single"/>
        </w:rPr>
      </w:pPr>
      <w:r w:rsidRPr="00E53141">
        <w:rPr>
          <w:i/>
          <w:sz w:val="22"/>
          <w:szCs w:val="22"/>
          <w:u w:val="single"/>
        </w:rPr>
        <w:t>Несколько примеров предпринимательской деятельности граждан, которые выбирают режим «</w:t>
      </w:r>
      <w:proofErr w:type="spellStart"/>
      <w:r w:rsidRPr="00E53141">
        <w:rPr>
          <w:i/>
          <w:sz w:val="22"/>
          <w:szCs w:val="22"/>
          <w:u w:val="single"/>
        </w:rPr>
        <w:t>самозанятости</w:t>
      </w:r>
      <w:proofErr w:type="spellEnd"/>
      <w:r w:rsidRPr="00E53141">
        <w:rPr>
          <w:i/>
          <w:sz w:val="22"/>
          <w:szCs w:val="22"/>
          <w:u w:val="single"/>
        </w:rPr>
        <w:t>»: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продажа товаров собственного изготовления;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оказание косметических, иных бытовых услуг;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перевозка грузов (пассажиров);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проведение и организация различных мероприятий (праздников);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услуги репетиторов и пр.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noProof/>
          <w:color w:val="0D0D0D" w:themeColor="text1" w:themeTint="F2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476885" cy="636270"/>
            <wp:effectExtent l="0" t="0" r="0" b="0"/>
            <wp:wrapTight wrapText="bothSides">
              <wp:wrapPolygon edited="0">
                <wp:start x="6903" y="0"/>
                <wp:lineTo x="5177" y="3234"/>
                <wp:lineTo x="5177" y="20048"/>
                <wp:lineTo x="6040" y="20695"/>
                <wp:lineTo x="12080" y="20695"/>
                <wp:lineTo x="12943" y="20048"/>
                <wp:lineTo x="13806" y="0"/>
                <wp:lineTo x="6903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141">
        <w:rPr>
          <w:color w:val="0D0D0D" w:themeColor="text1" w:themeTint="F2"/>
          <w:sz w:val="22"/>
          <w:szCs w:val="22"/>
          <w:lang w:eastAsia="ru-RU"/>
        </w:rPr>
        <w:t>Деятельность «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самозанятых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» или иных граждан без регистрации при постоянной реализации товаров, работ, услуг относится к предпринимательской, </w:t>
      </w:r>
      <w:proofErr w:type="gramStart"/>
      <w:r w:rsidRPr="00E53141">
        <w:rPr>
          <w:color w:val="0D0D0D" w:themeColor="text1" w:themeTint="F2"/>
          <w:sz w:val="22"/>
          <w:szCs w:val="22"/>
          <w:lang w:eastAsia="ru-RU"/>
        </w:rPr>
        <w:t>следовательно</w:t>
      </w:r>
      <w:proofErr w:type="gram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 на отношения по заключаемым договорам с потребителями товаров, работ, услуг будет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b/>
          <w:color w:val="0D0D0D" w:themeColor="text1" w:themeTint="F2"/>
          <w:sz w:val="22"/>
          <w:szCs w:val="22"/>
          <w:u w:val="single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u w:val="single"/>
          <w:lang w:eastAsia="ru-RU"/>
        </w:rPr>
        <w:t>Розыск продавца (исполнителя):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Если у потребителя отсутствуют сведения о продавце товара (исполнителе) (наименование, данные Ф.И.О., адрес), то восстановить нарушенные права потребителя будет сложнее. В этом случае потребителю необходимо обращаться в органы полиции, так как полиция уполномочена по проведению оперативно-розыскных мероприятий.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2. Изучите информацию о товаре, услуге.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lastRenderedPageBreak/>
        <w:t xml:space="preserve">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60" w:lineRule="exact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60647</wp:posOffset>
            </wp:positionH>
            <wp:positionV relativeFrom="paragraph">
              <wp:posOffset>17780</wp:posOffset>
            </wp:positionV>
            <wp:extent cx="675640" cy="675640"/>
            <wp:effectExtent l="0" t="0" r="0" b="0"/>
            <wp:wrapTight wrapText="bothSides">
              <wp:wrapPolygon edited="0">
                <wp:start x="10962" y="0"/>
                <wp:lineTo x="3045" y="3654"/>
                <wp:lineTo x="0" y="6699"/>
                <wp:lineTo x="609" y="20707"/>
                <wp:lineTo x="20098" y="20707"/>
                <wp:lineTo x="20098" y="10962"/>
                <wp:lineTo x="14617" y="0"/>
                <wp:lineTo x="1096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Например, оказание косметологических услуг относится к медицинской деятельности и наличие лицензии обязательно. Поэтому, если в социальной сети Вам предлагают оказать услуги косметолога, Вы вправе потребовать у исполнителя предоставить для ознакомления имеющуюся лицензию.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3. Потребуйте документ, подтверждающий оплату товара.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При оплате товара потребителю должен быть выдан кассовый чек (иной документ), подтверждающий покупку товара. </w:t>
      </w: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Граждане, зарегистрированные в статусе «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замозанятых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>», формирую</w:t>
      </w:r>
      <w:bookmarkStart w:id="1" w:name="_GoBack"/>
      <w:bookmarkEnd w:id="1"/>
      <w:r w:rsidRPr="00E53141">
        <w:rPr>
          <w:color w:val="0D0D0D" w:themeColor="text1" w:themeTint="F2"/>
          <w:sz w:val="22"/>
          <w:szCs w:val="22"/>
          <w:lang w:eastAsia="ru-RU"/>
        </w:rPr>
        <w:t xml:space="preserve">т электронный чек в специальном мобильном приложении «Мой налог» и направляют потребителю на электронный адрес.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noProof/>
          <w:color w:val="0D0D0D" w:themeColor="text1" w:themeTint="F2"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7003</wp:posOffset>
            </wp:positionH>
            <wp:positionV relativeFrom="paragraph">
              <wp:posOffset>3175</wp:posOffset>
            </wp:positionV>
            <wp:extent cx="351790" cy="469900"/>
            <wp:effectExtent l="0" t="0" r="0" b="6350"/>
            <wp:wrapTight wrapText="bothSides">
              <wp:wrapPolygon edited="0">
                <wp:start x="7018" y="0"/>
                <wp:lineTo x="4679" y="2627"/>
                <wp:lineTo x="4679" y="21016"/>
                <wp:lineTo x="12866" y="21016"/>
                <wp:lineTo x="12866" y="0"/>
                <wp:lineTo x="70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141">
        <w:rPr>
          <w:color w:val="0D0D0D" w:themeColor="text1" w:themeTint="F2"/>
          <w:sz w:val="22"/>
          <w:szCs w:val="22"/>
          <w:lang w:eastAsia="ru-RU"/>
        </w:rPr>
        <w:t xml:space="preserve">Не переводите деньги на банковскую карту физического лица. Требуйте, чтобы вам направили электронный чек, в котором указаны реквизиты организации </w:t>
      </w:r>
      <w:proofErr w:type="gramStart"/>
      <w:r w:rsidRPr="00E53141">
        <w:rPr>
          <w:color w:val="0D0D0D" w:themeColor="text1" w:themeTint="F2"/>
          <w:sz w:val="22"/>
          <w:szCs w:val="22"/>
          <w:lang w:eastAsia="ru-RU"/>
        </w:rPr>
        <w:t>–п</w:t>
      </w:r>
      <w:proofErr w:type="gram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олучателя.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Вконтакте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», это платежная система оплаты внутри сети «VK 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Pay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». Система позволяет оплатить товар через личный кошелек своего 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аккаунта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>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4. Помните, что не все товары можно продавать дистанционно!</w:t>
      </w:r>
    </w:p>
    <w:p w:rsidR="00E53141" w:rsidRPr="00E53141" w:rsidRDefault="00E53141" w:rsidP="00E53141">
      <w:pPr>
        <w:widowControl w:val="0"/>
        <w:tabs>
          <w:tab w:val="left" w:pos="482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</w:t>
      </w:r>
    </w:p>
    <w:p w:rsidR="000A4783" w:rsidRPr="00E53141" w:rsidRDefault="000A4783" w:rsidP="001806E0">
      <w:pPr>
        <w:ind w:left="180"/>
        <w:jc w:val="both"/>
        <w:rPr>
          <w:sz w:val="22"/>
          <w:szCs w:val="22"/>
        </w:rPr>
      </w:pPr>
    </w:p>
    <w:sectPr w:rsidR="000A4783" w:rsidRPr="00E53141" w:rsidSect="001806E0">
      <w:pgSz w:w="16838" w:h="11906" w:orient="landscape"/>
      <w:pgMar w:top="426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1B" w:rsidRDefault="00FD101B" w:rsidP="006D3B8C">
      <w:r>
        <w:separator/>
      </w:r>
    </w:p>
  </w:endnote>
  <w:endnote w:type="continuationSeparator" w:id="0">
    <w:p w:rsidR="00FD101B" w:rsidRDefault="00FD101B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1B" w:rsidRDefault="00FD101B" w:rsidP="006D3B8C">
      <w:r>
        <w:separator/>
      </w:r>
    </w:p>
  </w:footnote>
  <w:footnote w:type="continuationSeparator" w:id="0">
    <w:p w:rsidR="00FD101B" w:rsidRDefault="00FD101B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06E0"/>
    <w:rsid w:val="00185DF4"/>
    <w:rsid w:val="001A0EC4"/>
    <w:rsid w:val="001A1C79"/>
    <w:rsid w:val="001C77D8"/>
    <w:rsid w:val="001D4E0F"/>
    <w:rsid w:val="001F2199"/>
    <w:rsid w:val="001F49E8"/>
    <w:rsid w:val="00202D49"/>
    <w:rsid w:val="00276F9C"/>
    <w:rsid w:val="002823B0"/>
    <w:rsid w:val="002A787D"/>
    <w:rsid w:val="002C5003"/>
    <w:rsid w:val="002E478F"/>
    <w:rsid w:val="002E599C"/>
    <w:rsid w:val="002F17BD"/>
    <w:rsid w:val="00316ADC"/>
    <w:rsid w:val="00340461"/>
    <w:rsid w:val="00340FA6"/>
    <w:rsid w:val="00343662"/>
    <w:rsid w:val="00370D72"/>
    <w:rsid w:val="00374DDA"/>
    <w:rsid w:val="003858C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95B16"/>
    <w:rsid w:val="006A6785"/>
    <w:rsid w:val="006B154A"/>
    <w:rsid w:val="006D3B8C"/>
    <w:rsid w:val="006E77E1"/>
    <w:rsid w:val="007232E1"/>
    <w:rsid w:val="007262CF"/>
    <w:rsid w:val="00766649"/>
    <w:rsid w:val="007C14A0"/>
    <w:rsid w:val="0081370E"/>
    <w:rsid w:val="008166B5"/>
    <w:rsid w:val="008454E3"/>
    <w:rsid w:val="008C0C31"/>
    <w:rsid w:val="008C365B"/>
    <w:rsid w:val="008F30E6"/>
    <w:rsid w:val="00906051"/>
    <w:rsid w:val="00907F9F"/>
    <w:rsid w:val="0093276F"/>
    <w:rsid w:val="00964A54"/>
    <w:rsid w:val="00980AB3"/>
    <w:rsid w:val="009C36D8"/>
    <w:rsid w:val="009D27AD"/>
    <w:rsid w:val="009E75CE"/>
    <w:rsid w:val="00A1792F"/>
    <w:rsid w:val="00A4064B"/>
    <w:rsid w:val="00A76470"/>
    <w:rsid w:val="00A76944"/>
    <w:rsid w:val="00A940AE"/>
    <w:rsid w:val="00AB4B0A"/>
    <w:rsid w:val="00B23D03"/>
    <w:rsid w:val="00B32EE3"/>
    <w:rsid w:val="00B9686B"/>
    <w:rsid w:val="00BB4567"/>
    <w:rsid w:val="00BC2CAF"/>
    <w:rsid w:val="00BC694F"/>
    <w:rsid w:val="00BD2598"/>
    <w:rsid w:val="00BD6F5D"/>
    <w:rsid w:val="00C16954"/>
    <w:rsid w:val="00C35110"/>
    <w:rsid w:val="00C44743"/>
    <w:rsid w:val="00C5542F"/>
    <w:rsid w:val="00CA3142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37D10"/>
    <w:rsid w:val="00E53141"/>
    <w:rsid w:val="00E91A2B"/>
    <w:rsid w:val="00EA25DF"/>
    <w:rsid w:val="00EC5845"/>
    <w:rsid w:val="00ED63D4"/>
    <w:rsid w:val="00F015DF"/>
    <w:rsid w:val="00F04A5C"/>
    <w:rsid w:val="00F9226B"/>
    <w:rsid w:val="00F97B0C"/>
    <w:rsid w:val="00FD101B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  <w:style w:type="paragraph" w:customStyle="1" w:styleId="p1">
    <w:name w:val="_p1"/>
    <w:basedOn w:val="a"/>
    <w:rsid w:val="00E37D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6979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2023-08-22T00:59:00Z</dcterms:created>
  <dcterms:modified xsi:type="dcterms:W3CDTF">2023-08-22T00:59:00Z</dcterms:modified>
</cp:coreProperties>
</file>